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4E0" w14:textId="245106DC" w:rsidR="004662EE" w:rsidRDefault="004662EE" w:rsidP="00D3440E">
      <w:pPr>
        <w:contextualSpacing w:val="0"/>
        <w:rPr>
          <w:rFonts w:asciiTheme="minorHAnsi" w:hAnsiTheme="minorHAnsi" w:cstheme="minorHAnsi"/>
          <w:b/>
          <w:color w:val="002060"/>
          <w:sz w:val="36"/>
          <w:szCs w:val="36"/>
        </w:rPr>
      </w:pPr>
      <w:bookmarkStart w:id="0" w:name="_Hlk57734039"/>
      <w:bookmarkEnd w:id="0"/>
    </w:p>
    <w:p w14:paraId="5380FAF7" w14:textId="08C2BD18" w:rsidR="00A84144" w:rsidRDefault="00A84144" w:rsidP="00D3440E">
      <w:pPr>
        <w:contextualSpacing w:val="0"/>
        <w:rPr>
          <w:rFonts w:asciiTheme="minorHAnsi" w:hAnsiTheme="minorHAnsi" w:cstheme="minorHAnsi"/>
          <w:b/>
          <w:color w:val="002060"/>
          <w:sz w:val="36"/>
          <w:szCs w:val="36"/>
        </w:rPr>
      </w:pPr>
    </w:p>
    <w:p w14:paraId="2D36BA48" w14:textId="07C25AB1" w:rsidR="00A84144" w:rsidRDefault="00A84144" w:rsidP="00D3440E">
      <w:pPr>
        <w:contextualSpacing w:val="0"/>
        <w:rPr>
          <w:rFonts w:asciiTheme="minorHAnsi" w:hAnsiTheme="minorHAnsi" w:cstheme="minorHAnsi"/>
          <w:b/>
          <w:color w:val="002060"/>
          <w:sz w:val="36"/>
          <w:szCs w:val="36"/>
        </w:rPr>
      </w:pPr>
    </w:p>
    <w:p w14:paraId="22596868" w14:textId="6B5E585B" w:rsidR="00A84144" w:rsidRDefault="006436D8" w:rsidP="00D3440E">
      <w:pPr>
        <w:contextualSpacing w:val="0"/>
        <w:jc w:val="center"/>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279F4BBB" wp14:editId="23B17EE8">
            <wp:extent cx="5834380" cy="1152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70BC491B" w14:textId="779A511C" w:rsidR="004662EE" w:rsidRDefault="004662EE" w:rsidP="00D3440E">
      <w:pPr>
        <w:contextualSpacing w:val="0"/>
        <w:rPr>
          <w:rFonts w:asciiTheme="minorHAnsi" w:hAnsiTheme="minorHAnsi" w:cstheme="minorHAnsi"/>
          <w:b/>
          <w:color w:val="002060"/>
          <w:sz w:val="36"/>
          <w:szCs w:val="36"/>
        </w:rPr>
      </w:pPr>
    </w:p>
    <w:p w14:paraId="73FD7AA1" w14:textId="538BF8A7" w:rsidR="004662EE" w:rsidRDefault="004662EE" w:rsidP="00D3440E">
      <w:pPr>
        <w:contextualSpacing w:val="0"/>
        <w:rPr>
          <w:rFonts w:asciiTheme="minorHAnsi" w:hAnsiTheme="minorHAnsi" w:cstheme="minorHAnsi"/>
          <w:b/>
          <w:color w:val="002060"/>
          <w:sz w:val="36"/>
          <w:szCs w:val="36"/>
        </w:rPr>
      </w:pPr>
    </w:p>
    <w:p w14:paraId="5D25E328" w14:textId="1D0D710E" w:rsidR="003818AB" w:rsidRDefault="00A311C2" w:rsidP="00D3440E">
      <w:pPr>
        <w:contextualSpacing w:val="0"/>
        <w:jc w:val="center"/>
        <w:rPr>
          <w:rFonts w:asciiTheme="minorHAnsi" w:hAnsiTheme="minorHAnsi" w:cstheme="minorHAnsi"/>
          <w:b/>
          <w:color w:val="0070C0"/>
          <w:sz w:val="72"/>
          <w:szCs w:val="72"/>
        </w:rPr>
      </w:pPr>
      <w:r>
        <w:rPr>
          <w:rFonts w:asciiTheme="minorHAnsi" w:hAnsiTheme="minorHAnsi" w:cstheme="minorHAnsi"/>
          <w:b/>
          <w:color w:val="0070C0"/>
          <w:sz w:val="72"/>
          <w:szCs w:val="72"/>
        </w:rPr>
        <w:t>Security baseline</w:t>
      </w:r>
      <w:r w:rsidR="00E34F54">
        <w:rPr>
          <w:rFonts w:asciiTheme="minorHAnsi" w:hAnsiTheme="minorHAnsi" w:cstheme="minorHAnsi"/>
          <w:b/>
          <w:color w:val="0070C0"/>
          <w:sz w:val="72"/>
          <w:szCs w:val="72"/>
        </w:rPr>
        <w:t>s</w:t>
      </w:r>
    </w:p>
    <w:p w14:paraId="68AB96B3" w14:textId="1611DE76" w:rsidR="009B063F" w:rsidRPr="004D2539" w:rsidRDefault="006436D8" w:rsidP="00D3440E">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5A730EA8" w14:textId="658CD6E4" w:rsidR="004662EE" w:rsidRDefault="004662EE" w:rsidP="00D3440E">
      <w:pPr>
        <w:contextualSpacing w:val="0"/>
        <w:rPr>
          <w:rFonts w:asciiTheme="minorHAnsi" w:hAnsiTheme="minorHAnsi" w:cstheme="minorHAnsi"/>
          <w:b/>
          <w:color w:val="002060"/>
          <w:sz w:val="36"/>
          <w:szCs w:val="36"/>
        </w:rPr>
      </w:pPr>
    </w:p>
    <w:p w14:paraId="0B1DB8D5" w14:textId="3D935F44" w:rsidR="007E3185" w:rsidRPr="00DE5A19" w:rsidRDefault="004662EE" w:rsidP="00D3440E">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w:t>
      </w:r>
      <w:r w:rsidR="00C55BFD" w:rsidRPr="004D2539">
        <w:rPr>
          <w:rFonts w:asciiTheme="minorHAnsi" w:hAnsiTheme="minorHAnsi" w:cstheme="minorHAnsi"/>
          <w:b/>
          <w:color w:val="0070C0"/>
          <w:sz w:val="36"/>
          <w:szCs w:val="36"/>
        </w:rPr>
        <w:t>ersiebeheer</w:t>
      </w:r>
      <w:r w:rsidR="00146377"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E9149C" w:rsidRPr="00583416" w14:paraId="5FF2ECC6" w14:textId="77777777" w:rsidTr="004D2539">
        <w:trPr>
          <w:trHeight w:val="250"/>
        </w:trPr>
        <w:tc>
          <w:tcPr>
            <w:tcW w:w="846" w:type="dxa"/>
          </w:tcPr>
          <w:p w14:paraId="4CE98D80" w14:textId="77777777" w:rsidR="00E9149C" w:rsidRPr="00583416" w:rsidRDefault="00E9149C" w:rsidP="00D3440E">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36E640BE" w14:textId="77777777" w:rsidR="00E9149C" w:rsidRPr="00583416" w:rsidRDefault="00E9149C" w:rsidP="00D3440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3A4E7950" w14:textId="77777777" w:rsidR="00E9149C" w:rsidRPr="00583416" w:rsidRDefault="00E9149C" w:rsidP="00D3440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6F90C60E" w14:textId="77777777" w:rsidR="00E9149C" w:rsidRPr="00583416" w:rsidRDefault="00E9149C" w:rsidP="00D3440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200AF8AE" w14:textId="77777777" w:rsidR="00E9149C" w:rsidRPr="00583416" w:rsidRDefault="00E9149C" w:rsidP="00D3440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67309E" w:rsidRPr="00583416" w14:paraId="3426E479" w14:textId="77777777" w:rsidTr="004D2539">
        <w:tc>
          <w:tcPr>
            <w:tcW w:w="846" w:type="dxa"/>
          </w:tcPr>
          <w:p w14:paraId="05723F4D" w14:textId="769146AF" w:rsidR="0067309E" w:rsidRPr="00583416" w:rsidRDefault="00F93757" w:rsidP="00D3440E">
            <w:pPr>
              <w:contextualSpacing w:val="0"/>
              <w:jc w:val="center"/>
              <w:rPr>
                <w:rFonts w:asciiTheme="minorHAnsi" w:eastAsiaTheme="majorEastAsia" w:hAnsiTheme="minorHAnsi" w:cstheme="minorHAnsi"/>
                <w:bCs/>
                <w:lang w:eastAsia="nl-NL"/>
              </w:rPr>
            </w:pPr>
            <w:bookmarkStart w:id="1" w:name="_Hlk46315588"/>
            <w:r>
              <w:rPr>
                <w:rFonts w:asciiTheme="minorHAnsi" w:eastAsiaTheme="majorEastAsia" w:hAnsiTheme="minorHAnsi" w:cstheme="minorHAnsi"/>
                <w:bCs/>
                <w:lang w:eastAsia="nl-NL"/>
              </w:rPr>
              <w:t>0</w:t>
            </w:r>
            <w:r w:rsidR="001C1226">
              <w:rPr>
                <w:rFonts w:asciiTheme="minorHAnsi" w:eastAsiaTheme="majorEastAsia" w:hAnsiTheme="minorHAnsi" w:cstheme="minorHAnsi"/>
                <w:bCs/>
                <w:lang w:eastAsia="nl-NL"/>
              </w:rPr>
              <w:t>.</w:t>
            </w:r>
            <w:r>
              <w:rPr>
                <w:rFonts w:asciiTheme="minorHAnsi" w:eastAsiaTheme="majorEastAsia" w:hAnsiTheme="minorHAnsi" w:cstheme="minorHAnsi"/>
                <w:bCs/>
                <w:lang w:eastAsia="nl-NL"/>
              </w:rPr>
              <w:t>1</w:t>
            </w:r>
          </w:p>
        </w:tc>
        <w:tc>
          <w:tcPr>
            <w:tcW w:w="992" w:type="dxa"/>
          </w:tcPr>
          <w:p w14:paraId="0AF31882" w14:textId="3FDF6D44" w:rsidR="0067309E" w:rsidRPr="00583416" w:rsidRDefault="00F93757" w:rsidP="00D3440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2AFFFB29" w14:textId="5A4C3F6F" w:rsidR="0067309E" w:rsidRPr="00583416" w:rsidRDefault="00A311C2" w:rsidP="00D3440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1-7-2023</w:t>
            </w:r>
          </w:p>
        </w:tc>
        <w:tc>
          <w:tcPr>
            <w:tcW w:w="3118" w:type="dxa"/>
          </w:tcPr>
          <w:p w14:paraId="395315C2" w14:textId="376BDAEB" w:rsidR="00D87ABB" w:rsidRPr="00583416" w:rsidRDefault="00A311C2" w:rsidP="00D3440E">
            <w:pPr>
              <w:contextualSpacing w:val="0"/>
              <w:jc w:val="both"/>
              <w:rPr>
                <w:rFonts w:asciiTheme="minorHAnsi" w:eastAsiaTheme="majorEastAsia" w:hAnsiTheme="minorHAnsi" w:cstheme="minorHAnsi"/>
                <w:bCs/>
                <w:lang w:eastAsia="nl-NL"/>
              </w:rPr>
            </w:pPr>
            <w:r w:rsidRPr="00A311C2">
              <w:rPr>
                <w:rFonts w:asciiTheme="minorHAnsi" w:eastAsiaTheme="majorEastAsia" w:hAnsiTheme="minorHAnsi" w:cstheme="minorHAnsi"/>
                <w:bCs/>
                <w:lang w:eastAsia="nl-NL"/>
              </w:rPr>
              <w:t>Stijn Hoogervorst (NWO), Edwin Hubers (UvA), Paul Leeraert (AUMC), Jeffeny Hoogervorst (TiU), Abdul Altawekji (SURF), Henry Meutstege (Saxion)</w:t>
            </w:r>
          </w:p>
        </w:tc>
        <w:tc>
          <w:tcPr>
            <w:tcW w:w="3119" w:type="dxa"/>
          </w:tcPr>
          <w:p w14:paraId="4376805A" w14:textId="6915EB47" w:rsidR="0067309E" w:rsidRPr="00583416" w:rsidRDefault="00A311C2" w:rsidP="00D3440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Bron</w:t>
            </w:r>
          </w:p>
        </w:tc>
      </w:tr>
      <w:bookmarkEnd w:id="1"/>
      <w:tr w:rsidR="004F373B" w:rsidRPr="00B820DF" w14:paraId="0BB483D4" w14:textId="77777777" w:rsidTr="004D2539">
        <w:trPr>
          <w:trHeight w:val="300"/>
        </w:trPr>
        <w:tc>
          <w:tcPr>
            <w:tcW w:w="846" w:type="dxa"/>
          </w:tcPr>
          <w:p w14:paraId="41ACE768" w14:textId="010BE331" w:rsidR="004F373B" w:rsidRDefault="001C1226" w:rsidP="00D3440E">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0.</w:t>
            </w:r>
            <w:r w:rsidR="00666325">
              <w:rPr>
                <w:rFonts w:asciiTheme="minorHAnsi" w:eastAsiaTheme="majorEastAsia" w:hAnsiTheme="minorHAnsi" w:cstheme="minorHAnsi"/>
                <w:bCs/>
                <w:lang w:eastAsia="nl-NL"/>
              </w:rPr>
              <w:t>2</w:t>
            </w:r>
          </w:p>
        </w:tc>
        <w:tc>
          <w:tcPr>
            <w:tcW w:w="992" w:type="dxa"/>
          </w:tcPr>
          <w:p w14:paraId="21364D49" w14:textId="12F65F3A" w:rsidR="004F373B" w:rsidRDefault="001C1226" w:rsidP="00D3440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3B3FAE74" w14:textId="3E81C95C" w:rsidR="004F373B" w:rsidRDefault="00A311C2" w:rsidP="00D3440E">
            <w:pPr>
              <w:contextualSpacing w:val="0"/>
              <w:jc w:val="both"/>
              <w:rPr>
                <w:rFonts w:asciiTheme="minorHAnsi" w:eastAsiaTheme="majorEastAsia" w:hAnsiTheme="minorHAnsi" w:cstheme="minorBidi"/>
                <w:lang w:eastAsia="nl-NL"/>
              </w:rPr>
            </w:pPr>
            <w:r>
              <w:rPr>
                <w:rFonts w:asciiTheme="minorHAnsi" w:eastAsiaTheme="majorEastAsia" w:hAnsiTheme="minorHAnsi" w:cstheme="minorBidi"/>
                <w:lang w:eastAsia="nl-NL"/>
              </w:rPr>
              <w:t>7-7</w:t>
            </w:r>
            <w:r w:rsidR="00BD180E">
              <w:rPr>
                <w:rFonts w:asciiTheme="minorHAnsi" w:eastAsiaTheme="majorEastAsia" w:hAnsiTheme="minorHAnsi" w:cstheme="minorBidi"/>
                <w:lang w:eastAsia="nl-NL"/>
              </w:rPr>
              <w:t>-2023</w:t>
            </w:r>
          </w:p>
        </w:tc>
        <w:tc>
          <w:tcPr>
            <w:tcW w:w="3118" w:type="dxa"/>
          </w:tcPr>
          <w:p w14:paraId="0820A715" w14:textId="5B0D41B2" w:rsidR="00A311C2" w:rsidRDefault="001C1226" w:rsidP="00A311C2">
            <w:pPr>
              <w:spacing w:line="259" w:lineRule="auto"/>
              <w:jc w:val="both"/>
              <w:rPr>
                <w:rFonts w:asciiTheme="minorHAnsi" w:eastAsiaTheme="majorEastAsia" w:hAnsiTheme="minorHAnsi" w:cstheme="minorBidi"/>
                <w:lang w:eastAsia="nl-NL"/>
              </w:rPr>
            </w:pPr>
            <w:r>
              <w:rPr>
                <w:rFonts w:asciiTheme="minorHAnsi" w:eastAsiaTheme="majorEastAsia" w:hAnsiTheme="minorHAnsi" w:cstheme="minorBidi"/>
                <w:lang w:eastAsia="nl-NL"/>
              </w:rPr>
              <w:t>Ludo Cuijpers</w:t>
            </w:r>
            <w:r w:rsidR="00A311C2">
              <w:rPr>
                <w:rFonts w:asciiTheme="minorHAnsi" w:eastAsiaTheme="majorEastAsia" w:hAnsiTheme="minorHAnsi" w:cstheme="minorBidi"/>
                <w:lang w:eastAsia="nl-NL"/>
              </w:rPr>
              <w:t>, MBO Digitaal</w:t>
            </w:r>
          </w:p>
          <w:p w14:paraId="1514762E" w14:textId="055DA981" w:rsidR="001C1226" w:rsidRDefault="001C1226" w:rsidP="00A311C2">
            <w:pPr>
              <w:spacing w:line="259" w:lineRule="auto"/>
              <w:jc w:val="both"/>
              <w:rPr>
                <w:rFonts w:asciiTheme="minorHAnsi" w:eastAsiaTheme="majorEastAsia" w:hAnsiTheme="minorHAnsi" w:cstheme="minorBidi"/>
                <w:lang w:eastAsia="nl-NL"/>
              </w:rPr>
            </w:pPr>
            <w:r>
              <w:rPr>
                <w:rFonts w:asciiTheme="minorHAnsi" w:eastAsiaTheme="majorEastAsia" w:hAnsiTheme="minorHAnsi" w:cstheme="minorBidi"/>
                <w:lang w:eastAsia="nl-NL"/>
              </w:rPr>
              <w:t xml:space="preserve">Henk Links, </w:t>
            </w:r>
            <w:r w:rsidR="00A311C2">
              <w:rPr>
                <w:rFonts w:asciiTheme="minorHAnsi" w:eastAsiaTheme="majorEastAsia" w:hAnsiTheme="minorHAnsi" w:cstheme="minorBidi"/>
                <w:lang w:eastAsia="nl-NL"/>
              </w:rPr>
              <w:t>MBO Digitaal</w:t>
            </w:r>
          </w:p>
        </w:tc>
        <w:tc>
          <w:tcPr>
            <w:tcW w:w="3119" w:type="dxa"/>
          </w:tcPr>
          <w:p w14:paraId="4D06749D" w14:textId="650321FA" w:rsidR="004F373B" w:rsidRPr="00A311C2" w:rsidRDefault="00A311C2" w:rsidP="00D3440E">
            <w:pPr>
              <w:contextualSpacing w:val="0"/>
              <w:jc w:val="both"/>
              <w:rPr>
                <w:rFonts w:asciiTheme="minorHAnsi" w:eastAsiaTheme="majorEastAsia" w:hAnsiTheme="minorHAnsi" w:cstheme="minorBidi"/>
                <w:lang w:val="en-AU" w:eastAsia="nl-NL"/>
              </w:rPr>
            </w:pPr>
            <w:r w:rsidRPr="00A311C2">
              <w:rPr>
                <w:rFonts w:asciiTheme="minorHAnsi" w:eastAsiaTheme="majorEastAsia" w:hAnsiTheme="minorHAnsi" w:cstheme="minorBidi"/>
                <w:lang w:val="en-AU" w:eastAsia="nl-NL"/>
              </w:rPr>
              <w:t>Aanvulling Security Baseline</w:t>
            </w:r>
            <w:r w:rsidR="00076ACF">
              <w:rPr>
                <w:rFonts w:asciiTheme="minorHAnsi" w:eastAsiaTheme="majorEastAsia" w:hAnsiTheme="minorHAnsi" w:cstheme="minorBidi"/>
                <w:lang w:val="en-AU" w:eastAsia="nl-NL"/>
              </w:rPr>
              <w:t>s</w:t>
            </w:r>
            <w:r w:rsidRPr="00A311C2">
              <w:rPr>
                <w:rFonts w:asciiTheme="minorHAnsi" w:eastAsiaTheme="majorEastAsia" w:hAnsiTheme="minorHAnsi" w:cstheme="minorBidi"/>
                <w:lang w:val="en-AU" w:eastAsia="nl-NL"/>
              </w:rPr>
              <w:t xml:space="preserve"> met NBA </w:t>
            </w:r>
            <w:r>
              <w:rPr>
                <w:rFonts w:asciiTheme="minorHAnsi" w:eastAsiaTheme="majorEastAsia" w:hAnsiTheme="minorHAnsi" w:cstheme="minorBidi"/>
                <w:lang w:val="en-AU" w:eastAsia="nl-NL"/>
              </w:rPr>
              <w:t>controls en Accountables</w:t>
            </w:r>
          </w:p>
        </w:tc>
      </w:tr>
      <w:tr w:rsidR="003928B9" w:rsidRPr="00B820DF" w14:paraId="059F5EED" w14:textId="77777777" w:rsidTr="004D2539">
        <w:tc>
          <w:tcPr>
            <w:tcW w:w="846" w:type="dxa"/>
          </w:tcPr>
          <w:p w14:paraId="51C45F39" w14:textId="10EEDE6B" w:rsidR="003928B9" w:rsidRPr="00A311C2" w:rsidRDefault="003928B9" w:rsidP="00D3440E">
            <w:pPr>
              <w:contextualSpacing w:val="0"/>
              <w:jc w:val="center"/>
              <w:rPr>
                <w:rFonts w:asciiTheme="minorHAnsi" w:eastAsiaTheme="majorEastAsia" w:hAnsiTheme="minorHAnsi" w:cstheme="minorHAnsi"/>
                <w:bCs/>
                <w:lang w:val="en-AU" w:eastAsia="nl-NL"/>
              </w:rPr>
            </w:pPr>
          </w:p>
        </w:tc>
        <w:tc>
          <w:tcPr>
            <w:tcW w:w="992" w:type="dxa"/>
          </w:tcPr>
          <w:p w14:paraId="7585E585" w14:textId="7B47EA27" w:rsidR="003928B9" w:rsidRPr="00A311C2" w:rsidRDefault="003928B9" w:rsidP="00D3440E">
            <w:pPr>
              <w:contextualSpacing w:val="0"/>
              <w:jc w:val="both"/>
              <w:rPr>
                <w:rFonts w:asciiTheme="minorHAnsi" w:eastAsiaTheme="majorEastAsia" w:hAnsiTheme="minorHAnsi" w:cstheme="minorHAnsi"/>
                <w:bCs/>
                <w:lang w:val="en-AU" w:eastAsia="nl-NL"/>
              </w:rPr>
            </w:pPr>
          </w:p>
        </w:tc>
        <w:tc>
          <w:tcPr>
            <w:tcW w:w="1276" w:type="dxa"/>
          </w:tcPr>
          <w:p w14:paraId="2CC31B06" w14:textId="705801BF" w:rsidR="003928B9" w:rsidRPr="00A311C2" w:rsidRDefault="003928B9" w:rsidP="00D3440E">
            <w:pPr>
              <w:contextualSpacing w:val="0"/>
              <w:jc w:val="both"/>
              <w:rPr>
                <w:rFonts w:asciiTheme="minorHAnsi" w:eastAsiaTheme="majorEastAsia" w:hAnsiTheme="minorHAnsi" w:cstheme="minorHAnsi"/>
                <w:bCs/>
                <w:lang w:val="en-AU" w:eastAsia="nl-NL"/>
              </w:rPr>
            </w:pPr>
          </w:p>
        </w:tc>
        <w:tc>
          <w:tcPr>
            <w:tcW w:w="3118" w:type="dxa"/>
          </w:tcPr>
          <w:p w14:paraId="53F08AD2" w14:textId="4FB86719" w:rsidR="00CA709C" w:rsidRPr="006D1E03" w:rsidRDefault="00CA709C" w:rsidP="00D3440E">
            <w:pPr>
              <w:contextualSpacing w:val="0"/>
              <w:jc w:val="both"/>
              <w:rPr>
                <w:rFonts w:asciiTheme="minorHAnsi" w:eastAsiaTheme="majorEastAsia" w:hAnsiTheme="minorHAnsi" w:cstheme="minorHAnsi"/>
                <w:bCs/>
                <w:lang w:val="en-AU" w:eastAsia="nl-NL"/>
              </w:rPr>
            </w:pPr>
          </w:p>
        </w:tc>
        <w:tc>
          <w:tcPr>
            <w:tcW w:w="3119" w:type="dxa"/>
          </w:tcPr>
          <w:p w14:paraId="4E0A8BBB" w14:textId="0B3D74D9" w:rsidR="003928B9" w:rsidRPr="00A311C2" w:rsidRDefault="003928B9" w:rsidP="00D3440E">
            <w:pPr>
              <w:contextualSpacing w:val="0"/>
              <w:jc w:val="both"/>
              <w:rPr>
                <w:rFonts w:asciiTheme="minorHAnsi" w:eastAsiaTheme="majorEastAsia" w:hAnsiTheme="minorHAnsi" w:cstheme="minorHAnsi"/>
                <w:bCs/>
                <w:lang w:val="en-AU" w:eastAsia="nl-NL"/>
              </w:rPr>
            </w:pPr>
          </w:p>
        </w:tc>
      </w:tr>
    </w:tbl>
    <w:p w14:paraId="1BF4D8FD" w14:textId="77777777" w:rsidR="000D6054" w:rsidRPr="00A311C2" w:rsidRDefault="000D6054" w:rsidP="00D3440E">
      <w:pPr>
        <w:contextualSpacing w:val="0"/>
        <w:jc w:val="both"/>
        <w:rPr>
          <w:rFonts w:asciiTheme="minorHAnsi" w:eastAsiaTheme="majorEastAsia" w:hAnsiTheme="minorHAnsi" w:cstheme="minorHAnsi"/>
          <w:b/>
          <w:bCs/>
          <w:color w:val="1728A9"/>
          <w:sz w:val="18"/>
          <w:szCs w:val="18"/>
          <w:lang w:val="en-AU" w:eastAsia="nl-NL"/>
        </w:rPr>
      </w:pPr>
    </w:p>
    <w:p w14:paraId="4DED04D7" w14:textId="15B413F7" w:rsidR="00B820DF" w:rsidRPr="00B820DF" w:rsidRDefault="00B820DF" w:rsidP="00D3440E">
      <w:pPr>
        <w:contextualSpacing w:val="0"/>
        <w:jc w:val="both"/>
        <w:rPr>
          <w:rFonts w:asciiTheme="minorHAnsi" w:hAnsiTheme="minorHAnsi" w:cstheme="minorHAnsi"/>
          <w:b/>
          <w:color w:val="FF0000"/>
          <w:sz w:val="24"/>
          <w:szCs w:val="24"/>
        </w:rPr>
      </w:pPr>
      <w:r w:rsidRPr="00B820DF">
        <w:rPr>
          <w:rFonts w:asciiTheme="minorHAnsi" w:hAnsiTheme="minorHAnsi" w:cstheme="minorHAnsi"/>
          <w:b/>
          <w:color w:val="FF0000"/>
          <w:sz w:val="24"/>
          <w:szCs w:val="24"/>
        </w:rPr>
        <w:t>IT audit beoordeling is m</w:t>
      </w:r>
      <w:r>
        <w:rPr>
          <w:rFonts w:asciiTheme="minorHAnsi" w:hAnsiTheme="minorHAnsi" w:cstheme="minorHAnsi"/>
          <w:b/>
          <w:color w:val="FF0000"/>
          <w:sz w:val="24"/>
          <w:szCs w:val="24"/>
        </w:rPr>
        <w:t>eegenomen in dit document omdat dit een SURF werkgroep document is. Separate audit is ook beschikbaar.</w:t>
      </w:r>
    </w:p>
    <w:p w14:paraId="68EBCC33" w14:textId="77777777" w:rsidR="00B820DF" w:rsidRPr="00B820DF" w:rsidRDefault="00B820DF" w:rsidP="00D3440E">
      <w:pPr>
        <w:contextualSpacing w:val="0"/>
        <w:jc w:val="both"/>
        <w:rPr>
          <w:rFonts w:asciiTheme="minorHAnsi" w:hAnsiTheme="minorHAnsi" w:cstheme="minorHAnsi"/>
          <w:b/>
          <w:color w:val="002060"/>
          <w:sz w:val="24"/>
          <w:szCs w:val="24"/>
        </w:rPr>
      </w:pPr>
    </w:p>
    <w:p w14:paraId="5E76C927" w14:textId="22403FBE" w:rsidR="000D6054" w:rsidRPr="004D2539" w:rsidRDefault="00694EFE" w:rsidP="00D3440E">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Vastgesteld</w:t>
      </w:r>
      <w:r w:rsidR="000D6054" w:rsidRPr="004D2539">
        <w:rPr>
          <w:rFonts w:asciiTheme="minorHAnsi" w:hAnsiTheme="minorHAnsi" w:cstheme="minorHAnsi"/>
          <w:b/>
          <w:color w:val="0070C0"/>
          <w:sz w:val="24"/>
          <w:szCs w:val="24"/>
        </w:rPr>
        <w:t xml:space="preserve"> door</w:t>
      </w:r>
      <w:r w:rsidR="006B1AF3" w:rsidRPr="004D2539">
        <w:rPr>
          <w:rFonts w:asciiTheme="minorHAnsi" w:hAnsiTheme="minorHAnsi" w:cstheme="minorHAnsi"/>
          <w:b/>
          <w:color w:val="0070C0"/>
          <w:sz w:val="24"/>
          <w:szCs w:val="24"/>
        </w:rPr>
        <w:t xml:space="preserve"> </w:t>
      </w:r>
      <w:r w:rsidR="006436D8">
        <w:rPr>
          <w:rFonts w:asciiTheme="minorHAnsi" w:hAnsiTheme="minorHAnsi" w:cstheme="minorHAnsi"/>
          <w:b/>
          <w:color w:val="0070C0"/>
          <w:sz w:val="24"/>
          <w:szCs w:val="24"/>
        </w:rPr>
        <w:t>Security Nederland</w:t>
      </w:r>
      <w:r w:rsidR="000D6054"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4D2539" w:rsidRPr="00583416" w14:paraId="5725C7D5" w14:textId="77777777" w:rsidTr="004D2539">
        <w:tc>
          <w:tcPr>
            <w:tcW w:w="988" w:type="dxa"/>
          </w:tcPr>
          <w:p w14:paraId="0E0FC70C" w14:textId="77777777" w:rsidR="004D2539" w:rsidRPr="00583416" w:rsidRDefault="004D2539" w:rsidP="00D3440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3DA23C0C" w14:textId="77777777" w:rsidR="004D2539" w:rsidRPr="00583416" w:rsidRDefault="004D2539" w:rsidP="00D3440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13E66A09" w14:textId="6DE61B52" w:rsidR="004D2539" w:rsidRPr="00583416" w:rsidRDefault="004D2539" w:rsidP="00D3440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097E8E4D" w14:textId="797E91E3" w:rsidR="004D2539" w:rsidRPr="00583416" w:rsidRDefault="004D2539" w:rsidP="00D3440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4D2539" w:rsidRPr="00583416" w14:paraId="51C7306D" w14:textId="77777777" w:rsidTr="004D2539">
        <w:tc>
          <w:tcPr>
            <w:tcW w:w="988" w:type="dxa"/>
          </w:tcPr>
          <w:p w14:paraId="5F70287E" w14:textId="77777777" w:rsidR="004D2539" w:rsidRPr="00583416" w:rsidRDefault="004D2539" w:rsidP="00D3440E">
            <w:pPr>
              <w:contextualSpacing w:val="0"/>
              <w:jc w:val="both"/>
              <w:rPr>
                <w:rFonts w:asciiTheme="minorHAnsi" w:eastAsiaTheme="majorEastAsia" w:hAnsiTheme="minorHAnsi" w:cstheme="minorHAnsi"/>
                <w:bCs/>
                <w:lang w:eastAsia="nl-NL"/>
              </w:rPr>
            </w:pPr>
          </w:p>
        </w:tc>
        <w:tc>
          <w:tcPr>
            <w:tcW w:w="850" w:type="dxa"/>
          </w:tcPr>
          <w:p w14:paraId="43B0A56B" w14:textId="77777777" w:rsidR="004D2539" w:rsidRPr="00583416" w:rsidRDefault="004D2539" w:rsidP="00D3440E">
            <w:pPr>
              <w:contextualSpacing w:val="0"/>
              <w:jc w:val="both"/>
              <w:rPr>
                <w:rFonts w:asciiTheme="minorHAnsi" w:eastAsiaTheme="majorEastAsia" w:hAnsiTheme="minorHAnsi" w:cstheme="minorHAnsi"/>
                <w:bCs/>
                <w:lang w:eastAsia="nl-NL"/>
              </w:rPr>
            </w:pPr>
          </w:p>
        </w:tc>
        <w:tc>
          <w:tcPr>
            <w:tcW w:w="2236" w:type="dxa"/>
          </w:tcPr>
          <w:p w14:paraId="6AC6CE76" w14:textId="03BBC6A5" w:rsidR="004D2539" w:rsidRPr="00583416" w:rsidRDefault="004D2539" w:rsidP="00D3440E">
            <w:pPr>
              <w:contextualSpacing w:val="0"/>
              <w:jc w:val="both"/>
              <w:rPr>
                <w:rFonts w:asciiTheme="minorHAnsi" w:eastAsiaTheme="majorEastAsia" w:hAnsiTheme="minorHAnsi" w:cstheme="minorHAnsi"/>
                <w:bCs/>
                <w:lang w:eastAsia="nl-NL"/>
              </w:rPr>
            </w:pPr>
          </w:p>
        </w:tc>
        <w:tc>
          <w:tcPr>
            <w:tcW w:w="2522" w:type="dxa"/>
          </w:tcPr>
          <w:p w14:paraId="67EB87D7" w14:textId="2C8A5D71" w:rsidR="004D2539" w:rsidRPr="00583416" w:rsidRDefault="004D2539" w:rsidP="00D3440E">
            <w:pPr>
              <w:contextualSpacing w:val="0"/>
              <w:jc w:val="both"/>
              <w:rPr>
                <w:rFonts w:asciiTheme="minorHAnsi" w:eastAsiaTheme="majorEastAsia" w:hAnsiTheme="minorHAnsi" w:cstheme="minorHAnsi"/>
                <w:bCs/>
                <w:lang w:eastAsia="nl-NL"/>
              </w:rPr>
            </w:pPr>
          </w:p>
        </w:tc>
      </w:tr>
    </w:tbl>
    <w:p w14:paraId="72D05379" w14:textId="77777777" w:rsidR="0018358A" w:rsidRPr="00583416" w:rsidRDefault="0018358A" w:rsidP="00D3440E">
      <w:pPr>
        <w:contextualSpacing w:val="0"/>
        <w:jc w:val="both"/>
        <w:rPr>
          <w:rFonts w:asciiTheme="minorHAnsi" w:eastAsia="PMingLiU" w:hAnsiTheme="minorHAnsi" w:cstheme="minorHAnsi"/>
          <w:b/>
          <w:bCs/>
          <w:color w:val="1728A9"/>
          <w:sz w:val="18"/>
          <w:szCs w:val="18"/>
          <w:lang w:eastAsia="nl-NL"/>
        </w:rPr>
      </w:pPr>
    </w:p>
    <w:p w14:paraId="47556B10" w14:textId="77777777" w:rsidR="00E961FD" w:rsidRPr="00E961FD" w:rsidRDefault="00E961FD" w:rsidP="00E961FD">
      <w:pPr>
        <w:contextualSpacing w:val="0"/>
        <w:rPr>
          <w:b/>
          <w:bCs/>
          <w:color w:val="2E74B5"/>
          <w:sz w:val="20"/>
        </w:rPr>
      </w:pPr>
      <w:r w:rsidRPr="00E961FD">
        <w:rPr>
          <w:b/>
          <w:bCs/>
          <w:color w:val="2E74B5"/>
          <w:sz w:val="20"/>
        </w:rPr>
        <w:t>Sommige rechten voorbehouden</w:t>
      </w:r>
    </w:p>
    <w:p w14:paraId="32F91BE1" w14:textId="77777777" w:rsidR="00E961FD" w:rsidRPr="00E961FD" w:rsidRDefault="00E961FD" w:rsidP="00E961FD">
      <w:pPr>
        <w:contextualSpacing w:val="0"/>
        <w:rPr>
          <w:sz w:val="16"/>
          <w:szCs w:val="16"/>
        </w:rPr>
      </w:pPr>
      <w:r w:rsidRPr="00E961FD">
        <w:rPr>
          <w:sz w:val="16"/>
          <w:szCs w:val="16"/>
        </w:rPr>
        <w:t>Hoewel aan de totstandkoming van deze uitgave de uiterste zorg is besteed, aanvaarden de auteur(s), redacteur(s) en MBO Raad geen aansprakelijkheid voor eventuele fouten of onvolkomenheden.</w:t>
      </w:r>
    </w:p>
    <w:p w14:paraId="19AF6321" w14:textId="77777777" w:rsidR="00E961FD" w:rsidRPr="00E961FD" w:rsidRDefault="00E961FD" w:rsidP="00E961FD">
      <w:pPr>
        <w:contextualSpacing w:val="0"/>
        <w:rPr>
          <w:sz w:val="16"/>
          <w:szCs w:val="16"/>
        </w:rPr>
      </w:pPr>
      <w:r w:rsidRPr="00E961FD">
        <w:rPr>
          <w:noProof/>
          <w:szCs w:val="22"/>
        </w:rPr>
        <w:drawing>
          <wp:anchor distT="0" distB="0" distL="114300" distR="114300" simplePos="0" relativeHeight="251659264" behindDoc="0" locked="0" layoutInCell="1" allowOverlap="1" wp14:anchorId="50A7B753" wp14:editId="4D30D900">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A9B0A" w14:textId="77777777" w:rsidR="00E961FD" w:rsidRPr="00E961FD" w:rsidRDefault="00E961FD" w:rsidP="00E961FD">
      <w:pPr>
        <w:contextualSpacing w:val="0"/>
        <w:rPr>
          <w:sz w:val="16"/>
          <w:szCs w:val="16"/>
          <w:lang w:val="en-US"/>
        </w:rPr>
      </w:pPr>
      <w:r w:rsidRPr="00E961FD">
        <w:rPr>
          <w:sz w:val="16"/>
          <w:szCs w:val="16"/>
          <w:lang w:val="en-US"/>
        </w:rPr>
        <w:t>Creative commons</w:t>
      </w:r>
    </w:p>
    <w:p w14:paraId="129AB55D" w14:textId="77777777" w:rsidR="00E961FD" w:rsidRPr="00E961FD" w:rsidRDefault="00E961FD" w:rsidP="00E961FD">
      <w:pPr>
        <w:contextualSpacing w:val="0"/>
        <w:rPr>
          <w:sz w:val="16"/>
          <w:szCs w:val="16"/>
          <w:lang w:val="en-US"/>
        </w:rPr>
      </w:pPr>
      <w:r w:rsidRPr="00E961FD">
        <w:rPr>
          <w:sz w:val="16"/>
          <w:szCs w:val="16"/>
          <w:lang w:val="en-US"/>
        </w:rPr>
        <w:t>MBO Raad 4.0 Nederland</w:t>
      </w:r>
    </w:p>
    <w:p w14:paraId="542C6575" w14:textId="77777777" w:rsidR="00E961FD" w:rsidRPr="00E961FD" w:rsidRDefault="00E961FD" w:rsidP="00E961FD">
      <w:pPr>
        <w:contextualSpacing w:val="0"/>
        <w:rPr>
          <w:b/>
          <w:bCs/>
          <w:sz w:val="16"/>
          <w:szCs w:val="16"/>
          <w:lang w:val="en-US" w:eastAsia="nl-NL"/>
        </w:rPr>
      </w:pPr>
      <w:r w:rsidRPr="00E961FD">
        <w:rPr>
          <w:sz w:val="16"/>
          <w:szCs w:val="16"/>
          <w:lang w:val="en-US"/>
        </w:rPr>
        <w:t xml:space="preserve">(CC BY 4.0) </w:t>
      </w:r>
      <w:r w:rsidRPr="00E961FD">
        <w:rPr>
          <w:b/>
          <w:bCs/>
          <w:sz w:val="16"/>
          <w:szCs w:val="16"/>
          <w:lang w:val="en-US" w:eastAsia="nl-NL"/>
        </w:rPr>
        <w:t>Copyright</w:t>
      </w:r>
    </w:p>
    <w:p w14:paraId="463D2DF1" w14:textId="77777777" w:rsidR="00E961FD" w:rsidRPr="00E961FD" w:rsidRDefault="00E961FD" w:rsidP="00E961FD">
      <w:pPr>
        <w:contextualSpacing w:val="0"/>
        <w:rPr>
          <w:sz w:val="16"/>
          <w:szCs w:val="16"/>
          <w:lang w:val="en-US" w:eastAsia="nl-NL"/>
        </w:rPr>
      </w:pPr>
    </w:p>
    <w:p w14:paraId="34185ABB" w14:textId="77777777" w:rsidR="00E961FD" w:rsidRPr="00E961FD" w:rsidRDefault="00E961FD" w:rsidP="00E961FD">
      <w:pPr>
        <w:contextualSpacing w:val="0"/>
        <w:rPr>
          <w:sz w:val="16"/>
          <w:szCs w:val="16"/>
          <w:lang w:eastAsia="nl-NL"/>
        </w:rPr>
      </w:pPr>
      <w:r w:rsidRPr="00E961FD">
        <w:rPr>
          <w:sz w:val="16"/>
          <w:szCs w:val="16"/>
          <w:lang w:eastAsia="nl-NL"/>
        </w:rPr>
        <w:t>De gebruiker mag:</w:t>
      </w:r>
    </w:p>
    <w:p w14:paraId="255D8C28" w14:textId="77777777" w:rsidR="00E961FD" w:rsidRPr="00E961FD" w:rsidRDefault="00E961FD" w:rsidP="00E961FD">
      <w:pPr>
        <w:contextualSpacing w:val="0"/>
        <w:rPr>
          <w:sz w:val="16"/>
          <w:szCs w:val="16"/>
          <w:lang w:eastAsia="nl-NL"/>
        </w:rPr>
      </w:pPr>
      <w:r w:rsidRPr="00E961FD">
        <w:rPr>
          <w:sz w:val="16"/>
          <w:szCs w:val="16"/>
          <w:lang w:eastAsia="nl-NL"/>
        </w:rPr>
        <w:t>Het werk kopiëren, verspreiden en doorgeven</w:t>
      </w:r>
    </w:p>
    <w:p w14:paraId="10D6944E" w14:textId="77777777" w:rsidR="00E961FD" w:rsidRPr="00E961FD" w:rsidRDefault="00E961FD" w:rsidP="00E961FD">
      <w:pPr>
        <w:contextualSpacing w:val="0"/>
        <w:rPr>
          <w:sz w:val="16"/>
          <w:szCs w:val="16"/>
          <w:lang w:eastAsia="nl-NL"/>
        </w:rPr>
      </w:pPr>
      <w:r w:rsidRPr="00E961FD">
        <w:rPr>
          <w:sz w:val="16"/>
          <w:szCs w:val="16"/>
          <w:lang w:eastAsia="nl-NL"/>
        </w:rPr>
        <w:t>Remixen – afgeleide werken maken</w:t>
      </w:r>
    </w:p>
    <w:p w14:paraId="1304298A" w14:textId="77777777" w:rsidR="00E961FD" w:rsidRPr="00E961FD" w:rsidRDefault="00E961FD" w:rsidP="00E961FD">
      <w:pPr>
        <w:contextualSpacing w:val="0"/>
        <w:rPr>
          <w:sz w:val="16"/>
          <w:szCs w:val="16"/>
          <w:lang w:eastAsia="nl-NL"/>
        </w:rPr>
      </w:pPr>
      <w:r w:rsidRPr="00E961FD">
        <w:rPr>
          <w:sz w:val="16"/>
          <w:szCs w:val="16"/>
          <w:lang w:eastAsia="nl-NL"/>
        </w:rPr>
        <w:t>Onder de volgende voorwaarde:</w:t>
      </w:r>
    </w:p>
    <w:p w14:paraId="21BA4543" w14:textId="77777777" w:rsidR="00E961FD" w:rsidRPr="00E961FD" w:rsidRDefault="00E961FD" w:rsidP="00E961FD">
      <w:pPr>
        <w:contextualSpacing w:val="0"/>
        <w:rPr>
          <w:sz w:val="16"/>
          <w:szCs w:val="16"/>
          <w:lang w:eastAsia="nl-NL"/>
        </w:rPr>
      </w:pPr>
      <w:r w:rsidRPr="00E961FD">
        <w:rPr>
          <w:sz w:val="16"/>
          <w:szCs w:val="16"/>
          <w:lang w:eastAsia="nl-NL"/>
        </w:rPr>
        <w:t>Naamsvermelding – De gebruiker dient bij het werk de naam van MBO Raad te vermelden (maar niet zodanig dat de indruk gewekt wordt dat zij daarmee instemt met uw werk of uw gebruik van het werk).</w:t>
      </w:r>
    </w:p>
    <w:p w14:paraId="01FFE2AD" w14:textId="77777777" w:rsidR="00E961FD" w:rsidRPr="00E961FD" w:rsidRDefault="00E961FD" w:rsidP="00E961FD">
      <w:pPr>
        <w:ind w:right="-1"/>
        <w:contextualSpacing w:val="0"/>
        <w:jc w:val="both"/>
        <w:rPr>
          <w:rFonts w:ascii="Arial" w:eastAsiaTheme="majorEastAsia" w:hAnsi="Arial" w:cs="Arial"/>
          <w:b/>
          <w:bCs/>
          <w:color w:val="1728A9"/>
          <w:sz w:val="18"/>
          <w:szCs w:val="18"/>
          <w:lang w:eastAsia="nl-NL"/>
        </w:rPr>
      </w:pPr>
    </w:p>
    <w:p w14:paraId="44D21375" w14:textId="0CF0B9E4" w:rsidR="00B820DF" w:rsidRDefault="00164498">
      <w:pPr>
        <w:pStyle w:val="Inhopg1"/>
        <w:rPr>
          <w:rFonts w:eastAsiaTheme="minorEastAsia" w:cstheme="minorBidi"/>
          <w:b w:val="0"/>
          <w:bCs w:val="0"/>
          <w:caps w:val="0"/>
          <w:noProof/>
          <w:szCs w:val="22"/>
          <w:lang w:eastAsia="nl-NL"/>
        </w:rPr>
      </w:pPr>
      <w:r w:rsidRPr="00C55BFD">
        <w:rPr>
          <w:rFonts w:ascii="Arial" w:eastAsiaTheme="majorEastAsia" w:hAnsi="Arial" w:cs="Arial"/>
          <w:color w:val="1728A9"/>
          <w:sz w:val="18"/>
          <w:szCs w:val="18"/>
          <w:lang w:eastAsia="nl-NL"/>
        </w:rPr>
        <w:fldChar w:fldCharType="begin"/>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TOC</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o</w:instrText>
      </w:r>
      <w:r w:rsidRPr="00C55BFD">
        <w:rPr>
          <w:rFonts w:ascii="Arial" w:eastAsiaTheme="majorEastAsia" w:hAnsi="Arial" w:cs="Arial"/>
          <w:color w:val="1728A9"/>
          <w:sz w:val="18"/>
          <w:szCs w:val="18"/>
          <w:lang w:eastAsia="nl-NL"/>
        </w:rPr>
        <w:instrText xml:space="preserve"> "1-3" \</w:instrText>
      </w:r>
      <w:r w:rsidRPr="00C55BFD">
        <w:rPr>
          <w:rFonts w:ascii="Arial" w:hAnsi="Arial" w:cs="Arial"/>
          <w:color w:val="1728A9"/>
          <w:sz w:val="18"/>
          <w:szCs w:val="18"/>
          <w:lang w:eastAsia="nl-NL"/>
        </w:rPr>
        <w:instrText>h</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z</w:instrText>
      </w:r>
      <w:r w:rsidRPr="00C55BFD">
        <w:rPr>
          <w:rFonts w:ascii="Arial" w:eastAsiaTheme="majorEastAsia" w:hAnsi="Arial" w:cs="Arial"/>
          <w:color w:val="1728A9"/>
          <w:sz w:val="18"/>
          <w:szCs w:val="18"/>
          <w:lang w:eastAsia="nl-NL"/>
        </w:rPr>
        <w:instrText xml:space="preserve"> \</w:instrText>
      </w:r>
      <w:r w:rsidRPr="00C55BFD">
        <w:rPr>
          <w:rFonts w:ascii="Arial" w:hAnsi="Arial" w:cs="Arial"/>
          <w:color w:val="1728A9"/>
          <w:sz w:val="18"/>
          <w:szCs w:val="18"/>
          <w:lang w:eastAsia="nl-NL"/>
        </w:rPr>
        <w:instrText>u</w:instrText>
      </w:r>
      <w:r w:rsidRPr="00C55BFD">
        <w:rPr>
          <w:rFonts w:ascii="Arial" w:eastAsiaTheme="majorEastAsia" w:hAnsi="Arial" w:cs="Arial"/>
          <w:color w:val="1728A9"/>
          <w:sz w:val="18"/>
          <w:szCs w:val="18"/>
          <w:lang w:eastAsia="nl-NL"/>
        </w:rPr>
        <w:instrText xml:space="preserve"> </w:instrText>
      </w:r>
      <w:r w:rsidRPr="00C55BFD">
        <w:rPr>
          <w:rFonts w:ascii="Arial" w:eastAsiaTheme="majorEastAsia" w:hAnsi="Arial" w:cs="Arial"/>
          <w:color w:val="1728A9"/>
          <w:sz w:val="18"/>
          <w:szCs w:val="18"/>
          <w:lang w:eastAsia="nl-NL"/>
        </w:rPr>
        <w:fldChar w:fldCharType="separate"/>
      </w:r>
      <w:hyperlink w:anchor="_Toc144979124" w:history="1">
        <w:r w:rsidR="00B820DF" w:rsidRPr="00107D5C">
          <w:rPr>
            <w:rStyle w:val="Hyperlink"/>
            <w:noProof/>
          </w:rPr>
          <w:t>Inleiding</w:t>
        </w:r>
        <w:r w:rsidR="00B820DF">
          <w:rPr>
            <w:noProof/>
            <w:webHidden/>
          </w:rPr>
          <w:tab/>
        </w:r>
        <w:r w:rsidR="00B820DF">
          <w:rPr>
            <w:noProof/>
            <w:webHidden/>
          </w:rPr>
          <w:fldChar w:fldCharType="begin"/>
        </w:r>
        <w:r w:rsidR="00B820DF">
          <w:rPr>
            <w:noProof/>
            <w:webHidden/>
          </w:rPr>
          <w:instrText xml:space="preserve"> PAGEREF _Toc144979124 \h </w:instrText>
        </w:r>
        <w:r w:rsidR="00B820DF">
          <w:rPr>
            <w:noProof/>
            <w:webHidden/>
          </w:rPr>
        </w:r>
        <w:r w:rsidR="00B820DF">
          <w:rPr>
            <w:noProof/>
            <w:webHidden/>
          </w:rPr>
          <w:fldChar w:fldCharType="separate"/>
        </w:r>
        <w:r w:rsidR="00B820DF">
          <w:rPr>
            <w:noProof/>
            <w:webHidden/>
          </w:rPr>
          <w:t>3</w:t>
        </w:r>
        <w:r w:rsidR="00B820DF">
          <w:rPr>
            <w:noProof/>
            <w:webHidden/>
          </w:rPr>
          <w:fldChar w:fldCharType="end"/>
        </w:r>
      </w:hyperlink>
    </w:p>
    <w:p w14:paraId="4A4136D6" w14:textId="63F84094" w:rsidR="00B820DF" w:rsidRDefault="005D112C">
      <w:pPr>
        <w:pStyle w:val="Inhopg2"/>
        <w:tabs>
          <w:tab w:val="right" w:leader="dot" w:pos="9629"/>
        </w:tabs>
        <w:rPr>
          <w:rFonts w:eastAsiaTheme="minorEastAsia" w:cstheme="minorBidi"/>
          <w:smallCaps w:val="0"/>
          <w:noProof/>
          <w:szCs w:val="22"/>
          <w:lang w:eastAsia="nl-NL"/>
        </w:rPr>
      </w:pPr>
      <w:hyperlink w:anchor="_Toc144979125" w:history="1">
        <w:r w:rsidR="00B820DF" w:rsidRPr="00107D5C">
          <w:rPr>
            <w:rStyle w:val="Hyperlink"/>
            <w:noProof/>
          </w:rPr>
          <w:t>Doel SURF security baseline</w:t>
        </w:r>
        <w:r w:rsidR="00B820DF">
          <w:rPr>
            <w:noProof/>
            <w:webHidden/>
          </w:rPr>
          <w:tab/>
        </w:r>
        <w:r w:rsidR="00B820DF">
          <w:rPr>
            <w:noProof/>
            <w:webHidden/>
          </w:rPr>
          <w:fldChar w:fldCharType="begin"/>
        </w:r>
        <w:r w:rsidR="00B820DF">
          <w:rPr>
            <w:noProof/>
            <w:webHidden/>
          </w:rPr>
          <w:instrText xml:space="preserve"> PAGEREF _Toc144979125 \h </w:instrText>
        </w:r>
        <w:r w:rsidR="00B820DF">
          <w:rPr>
            <w:noProof/>
            <w:webHidden/>
          </w:rPr>
        </w:r>
        <w:r w:rsidR="00B820DF">
          <w:rPr>
            <w:noProof/>
            <w:webHidden/>
          </w:rPr>
          <w:fldChar w:fldCharType="separate"/>
        </w:r>
        <w:r w:rsidR="00B820DF">
          <w:rPr>
            <w:noProof/>
            <w:webHidden/>
          </w:rPr>
          <w:t>3</w:t>
        </w:r>
        <w:r w:rsidR="00B820DF">
          <w:rPr>
            <w:noProof/>
            <w:webHidden/>
          </w:rPr>
          <w:fldChar w:fldCharType="end"/>
        </w:r>
      </w:hyperlink>
    </w:p>
    <w:p w14:paraId="42E18696" w14:textId="211952CC" w:rsidR="00B820DF" w:rsidRDefault="005D112C">
      <w:pPr>
        <w:pStyle w:val="Inhopg2"/>
        <w:tabs>
          <w:tab w:val="right" w:leader="dot" w:pos="9629"/>
        </w:tabs>
        <w:rPr>
          <w:rFonts w:eastAsiaTheme="minorEastAsia" w:cstheme="minorBidi"/>
          <w:smallCaps w:val="0"/>
          <w:noProof/>
          <w:szCs w:val="22"/>
          <w:lang w:eastAsia="nl-NL"/>
        </w:rPr>
      </w:pPr>
      <w:hyperlink w:anchor="_Toc144979126" w:history="1">
        <w:r w:rsidR="00B820DF" w:rsidRPr="00107D5C">
          <w:rPr>
            <w:rStyle w:val="Hyperlink"/>
            <w:noProof/>
          </w:rPr>
          <w:t>Over de SURF security baseline</w:t>
        </w:r>
        <w:r w:rsidR="00B820DF">
          <w:rPr>
            <w:noProof/>
            <w:webHidden/>
          </w:rPr>
          <w:tab/>
        </w:r>
        <w:r w:rsidR="00B820DF">
          <w:rPr>
            <w:noProof/>
            <w:webHidden/>
          </w:rPr>
          <w:fldChar w:fldCharType="begin"/>
        </w:r>
        <w:r w:rsidR="00B820DF">
          <w:rPr>
            <w:noProof/>
            <w:webHidden/>
          </w:rPr>
          <w:instrText xml:space="preserve"> PAGEREF _Toc144979126 \h </w:instrText>
        </w:r>
        <w:r w:rsidR="00B820DF">
          <w:rPr>
            <w:noProof/>
            <w:webHidden/>
          </w:rPr>
        </w:r>
        <w:r w:rsidR="00B820DF">
          <w:rPr>
            <w:noProof/>
            <w:webHidden/>
          </w:rPr>
          <w:fldChar w:fldCharType="separate"/>
        </w:r>
        <w:r w:rsidR="00B820DF">
          <w:rPr>
            <w:noProof/>
            <w:webHidden/>
          </w:rPr>
          <w:t>3</w:t>
        </w:r>
        <w:r w:rsidR="00B820DF">
          <w:rPr>
            <w:noProof/>
            <w:webHidden/>
          </w:rPr>
          <w:fldChar w:fldCharType="end"/>
        </w:r>
      </w:hyperlink>
    </w:p>
    <w:p w14:paraId="60F4EFF9" w14:textId="164D01B7" w:rsidR="00B820DF" w:rsidRDefault="005D112C">
      <w:pPr>
        <w:pStyle w:val="Inhopg2"/>
        <w:tabs>
          <w:tab w:val="right" w:leader="dot" w:pos="9629"/>
        </w:tabs>
        <w:rPr>
          <w:rFonts w:eastAsiaTheme="minorEastAsia" w:cstheme="minorBidi"/>
          <w:smallCaps w:val="0"/>
          <w:noProof/>
          <w:szCs w:val="22"/>
          <w:lang w:eastAsia="nl-NL"/>
        </w:rPr>
      </w:pPr>
      <w:hyperlink w:anchor="_Toc144979127" w:history="1">
        <w:r w:rsidR="00B820DF" w:rsidRPr="00107D5C">
          <w:rPr>
            <w:rStyle w:val="Hyperlink"/>
            <w:noProof/>
          </w:rPr>
          <w:t>Security baseline binnen vendor riskmanagement</w:t>
        </w:r>
        <w:r w:rsidR="00B820DF">
          <w:rPr>
            <w:noProof/>
            <w:webHidden/>
          </w:rPr>
          <w:tab/>
        </w:r>
        <w:r w:rsidR="00B820DF">
          <w:rPr>
            <w:noProof/>
            <w:webHidden/>
          </w:rPr>
          <w:fldChar w:fldCharType="begin"/>
        </w:r>
        <w:r w:rsidR="00B820DF">
          <w:rPr>
            <w:noProof/>
            <w:webHidden/>
          </w:rPr>
          <w:instrText xml:space="preserve"> PAGEREF _Toc144979127 \h </w:instrText>
        </w:r>
        <w:r w:rsidR="00B820DF">
          <w:rPr>
            <w:noProof/>
            <w:webHidden/>
          </w:rPr>
        </w:r>
        <w:r w:rsidR="00B820DF">
          <w:rPr>
            <w:noProof/>
            <w:webHidden/>
          </w:rPr>
          <w:fldChar w:fldCharType="separate"/>
        </w:r>
        <w:r w:rsidR="00B820DF">
          <w:rPr>
            <w:noProof/>
            <w:webHidden/>
          </w:rPr>
          <w:t>3</w:t>
        </w:r>
        <w:r w:rsidR="00B820DF">
          <w:rPr>
            <w:noProof/>
            <w:webHidden/>
          </w:rPr>
          <w:fldChar w:fldCharType="end"/>
        </w:r>
      </w:hyperlink>
    </w:p>
    <w:p w14:paraId="2FA7083D" w14:textId="6B50AF6E" w:rsidR="00B820DF" w:rsidRDefault="005D112C">
      <w:pPr>
        <w:pStyle w:val="Inhopg2"/>
        <w:tabs>
          <w:tab w:val="right" w:leader="dot" w:pos="9629"/>
        </w:tabs>
        <w:rPr>
          <w:rFonts w:eastAsiaTheme="minorEastAsia" w:cstheme="minorBidi"/>
          <w:smallCaps w:val="0"/>
          <w:noProof/>
          <w:szCs w:val="22"/>
          <w:lang w:eastAsia="nl-NL"/>
        </w:rPr>
      </w:pPr>
      <w:hyperlink w:anchor="_Toc144979128" w:history="1">
        <w:r w:rsidR="00B820DF" w:rsidRPr="00107D5C">
          <w:rPr>
            <w:rStyle w:val="Hyperlink"/>
            <w:noProof/>
          </w:rPr>
          <w:t>Aanvullingen MBO Digitaal</w:t>
        </w:r>
        <w:r w:rsidR="00B820DF">
          <w:rPr>
            <w:noProof/>
            <w:webHidden/>
          </w:rPr>
          <w:tab/>
        </w:r>
        <w:r w:rsidR="00B820DF">
          <w:rPr>
            <w:noProof/>
            <w:webHidden/>
          </w:rPr>
          <w:fldChar w:fldCharType="begin"/>
        </w:r>
        <w:r w:rsidR="00B820DF">
          <w:rPr>
            <w:noProof/>
            <w:webHidden/>
          </w:rPr>
          <w:instrText xml:space="preserve"> PAGEREF _Toc144979128 \h </w:instrText>
        </w:r>
        <w:r w:rsidR="00B820DF">
          <w:rPr>
            <w:noProof/>
            <w:webHidden/>
          </w:rPr>
        </w:r>
        <w:r w:rsidR="00B820DF">
          <w:rPr>
            <w:noProof/>
            <w:webHidden/>
          </w:rPr>
          <w:fldChar w:fldCharType="separate"/>
        </w:r>
        <w:r w:rsidR="00B820DF">
          <w:rPr>
            <w:noProof/>
            <w:webHidden/>
          </w:rPr>
          <w:t>3</w:t>
        </w:r>
        <w:r w:rsidR="00B820DF">
          <w:rPr>
            <w:noProof/>
            <w:webHidden/>
          </w:rPr>
          <w:fldChar w:fldCharType="end"/>
        </w:r>
      </w:hyperlink>
    </w:p>
    <w:p w14:paraId="35F3CB67" w14:textId="4E8983BA" w:rsidR="00B820DF" w:rsidRDefault="005D112C">
      <w:pPr>
        <w:pStyle w:val="Inhopg1"/>
        <w:rPr>
          <w:rFonts w:eastAsiaTheme="minorEastAsia" w:cstheme="minorBidi"/>
          <w:b w:val="0"/>
          <w:bCs w:val="0"/>
          <w:caps w:val="0"/>
          <w:noProof/>
          <w:szCs w:val="22"/>
          <w:lang w:eastAsia="nl-NL"/>
        </w:rPr>
      </w:pPr>
      <w:hyperlink w:anchor="_Toc144979129" w:history="1">
        <w:r w:rsidR="00B820DF" w:rsidRPr="00107D5C">
          <w:rPr>
            <w:rStyle w:val="Hyperlink"/>
            <w:noProof/>
          </w:rPr>
          <w:t>IT audit beoordeling</w:t>
        </w:r>
        <w:r w:rsidR="00B820DF">
          <w:rPr>
            <w:noProof/>
            <w:webHidden/>
          </w:rPr>
          <w:tab/>
        </w:r>
        <w:r w:rsidR="00B820DF">
          <w:rPr>
            <w:noProof/>
            <w:webHidden/>
          </w:rPr>
          <w:fldChar w:fldCharType="begin"/>
        </w:r>
        <w:r w:rsidR="00B820DF">
          <w:rPr>
            <w:noProof/>
            <w:webHidden/>
          </w:rPr>
          <w:instrText xml:space="preserve"> PAGEREF _Toc144979129 \h </w:instrText>
        </w:r>
        <w:r w:rsidR="00B820DF">
          <w:rPr>
            <w:noProof/>
            <w:webHidden/>
          </w:rPr>
        </w:r>
        <w:r w:rsidR="00B820DF">
          <w:rPr>
            <w:noProof/>
            <w:webHidden/>
          </w:rPr>
          <w:fldChar w:fldCharType="separate"/>
        </w:r>
        <w:r w:rsidR="00B820DF">
          <w:rPr>
            <w:noProof/>
            <w:webHidden/>
          </w:rPr>
          <w:t>10</w:t>
        </w:r>
        <w:r w:rsidR="00B820DF">
          <w:rPr>
            <w:noProof/>
            <w:webHidden/>
          </w:rPr>
          <w:fldChar w:fldCharType="end"/>
        </w:r>
      </w:hyperlink>
    </w:p>
    <w:p w14:paraId="17F63D28" w14:textId="64CEED95" w:rsidR="00164498" w:rsidRPr="00C55BFD" w:rsidRDefault="00164498" w:rsidP="00D3440E">
      <w:pPr>
        <w:ind w:right="-1"/>
        <w:contextualSpacing w:val="0"/>
        <w:jc w:val="both"/>
        <w:rPr>
          <w:rFonts w:ascii="Arial" w:eastAsiaTheme="majorEastAsia" w:hAnsi="Arial" w:cs="Arial"/>
          <w:b/>
          <w:bCs/>
          <w:color w:val="1728A9"/>
          <w:sz w:val="18"/>
          <w:szCs w:val="18"/>
          <w:lang w:eastAsia="nl-NL"/>
        </w:rPr>
      </w:pPr>
      <w:r w:rsidRPr="00C55BFD">
        <w:rPr>
          <w:rFonts w:ascii="Arial" w:eastAsiaTheme="majorEastAsia" w:hAnsi="Arial" w:cs="Arial"/>
          <w:b/>
          <w:bCs/>
          <w:color w:val="1728A9"/>
          <w:sz w:val="18"/>
          <w:szCs w:val="18"/>
          <w:lang w:eastAsia="nl-NL"/>
        </w:rPr>
        <w:fldChar w:fldCharType="end"/>
      </w:r>
    </w:p>
    <w:p w14:paraId="167AC172" w14:textId="33FFB36B" w:rsidR="00710503" w:rsidRDefault="00164498" w:rsidP="00E34F54">
      <w:pPr>
        <w:pStyle w:val="Kop1"/>
      </w:pPr>
      <w:r w:rsidRPr="00C55BFD">
        <w:br w:type="page"/>
      </w:r>
      <w:bookmarkStart w:id="2" w:name="_Toc144979124"/>
      <w:r w:rsidR="00E34F54">
        <w:lastRenderedPageBreak/>
        <w:t>Inleiding</w:t>
      </w:r>
      <w:r w:rsidR="00666325">
        <w:rPr>
          <w:rStyle w:val="Voetnootmarkering"/>
        </w:rPr>
        <w:footnoteReference w:id="2"/>
      </w:r>
      <w:bookmarkEnd w:id="2"/>
    </w:p>
    <w:p w14:paraId="56B5AFAF" w14:textId="0C8F66BE" w:rsidR="00666325" w:rsidRDefault="00666325" w:rsidP="00666325">
      <w:pPr>
        <w:rPr>
          <w:lang w:eastAsia="nl-NL"/>
        </w:rPr>
      </w:pPr>
      <w:r>
        <w:rPr>
          <w:lang w:eastAsia="nl-NL"/>
        </w:rPr>
        <w:t xml:space="preserve">De SURF security baseline – als onderdeel van de dienst SURFaudit - is ontwikkeld om verschillende partijen binnen onderwijs en onderzoek te voorzien van een concrete set van maatregelen om een systeem of dienst te beveiligen. Hierdoor kunnen proces- en systeemeigenaren beter invulling geven aan hun verantwoordelijkheden op het gebied van informatiebeveiliging. Projectmanagers hebben hiermee duidelijke doelen om naartoe te werken en weten welke richtlijnen en best practices ze moeten volgen. Deze baseline voorziet leveranciers ook van duidelijke en gestandaardiseerde eisen voor beveiligingsmaatregelen, waardoor zij makkelijker kunnen voldoen aan de eisen van verschillende instellingen. Het is de bedoeling dat de SURF security baseline in de toekomst de Handreiking Beveiligingsmaatregelen van het SURF Juridisch Normenkader (Cloud)services [1] gaat vervangen.  </w:t>
      </w:r>
    </w:p>
    <w:p w14:paraId="0BDD6EFD" w14:textId="77777777" w:rsidR="00666325" w:rsidRDefault="00666325" w:rsidP="00666325">
      <w:pPr>
        <w:pStyle w:val="Kop2"/>
      </w:pPr>
      <w:bookmarkStart w:id="3" w:name="_Toc144979125"/>
      <w:r>
        <w:t>Doel SURF security baseline</w:t>
      </w:r>
      <w:bookmarkEnd w:id="3"/>
      <w:r>
        <w:t xml:space="preserve"> </w:t>
      </w:r>
    </w:p>
    <w:p w14:paraId="48F784ED" w14:textId="77777777" w:rsidR="00666325" w:rsidRDefault="00666325" w:rsidP="00666325">
      <w:pPr>
        <w:rPr>
          <w:lang w:eastAsia="nl-NL"/>
        </w:rPr>
      </w:pPr>
      <w:r>
        <w:rPr>
          <w:lang w:eastAsia="nl-NL"/>
        </w:rPr>
        <w:t xml:space="preserve">Het doel van de security baseline is om een gestandaardiseerde set van beveiligingsmaatregelen te creëren voor onderwijs en onderzoek. Deze set bevat meer dan 100 maatregelen die geschikt zijn voor verschillende beveiligingsniveaus (laag, midden en hoog) van systemen, gegevens en processen. De set van maatregelen is concreet en gericht op praktische toepassing. Instellingen kunnen deze maatregelen intern gebruiken voor de ontwikkeling en bescherming van hun eigen IT-infrastructuur en in hun inkoopprocessen. </w:t>
      </w:r>
    </w:p>
    <w:p w14:paraId="2ACE87B5" w14:textId="77777777" w:rsidR="00666325" w:rsidRDefault="00666325" w:rsidP="00666325">
      <w:pPr>
        <w:pStyle w:val="Kop2"/>
      </w:pPr>
      <w:bookmarkStart w:id="4" w:name="_Toc144979126"/>
      <w:r>
        <w:t>Over de SURF security baseline</w:t>
      </w:r>
      <w:bookmarkEnd w:id="4"/>
      <w:r>
        <w:t xml:space="preserve"> </w:t>
      </w:r>
    </w:p>
    <w:p w14:paraId="5038FD66" w14:textId="77777777" w:rsidR="00666325" w:rsidRDefault="00666325" w:rsidP="00666325">
      <w:pPr>
        <w:rPr>
          <w:lang w:eastAsia="nl-NL"/>
        </w:rPr>
      </w:pPr>
      <w:r>
        <w:rPr>
          <w:lang w:eastAsia="nl-NL"/>
        </w:rPr>
        <w:t xml:space="preserve">De baseline is een combinatie van maatregelen uit meerdere bekende en bewezen standaarden, zoals CIS controls v7.1 en ISO 27002:2017. Maar ook aangescherpt met maatregelen uit andere kaders die in onze sector worden gebruikt, zoals de STITCH controls en het certificeringsschema informatiebeveiliging en privacy ROSA v3.0. Deze maatregelen zijn vervolgens door een groep deskundigen van de hieronder genoemde instellingen één voor één beoordeeld en meerdere malen herzien. Dit met als doel om ze geschikt te maken voor de sector onderwijs en onderzoek en de samenhang tussen de verschillende maatregelen te waarborgen. </w:t>
      </w:r>
    </w:p>
    <w:p w14:paraId="3269735E" w14:textId="77777777" w:rsidR="00666325" w:rsidRPr="0055287A" w:rsidRDefault="00666325" w:rsidP="00666325">
      <w:pPr>
        <w:pStyle w:val="Kop2"/>
      </w:pPr>
      <w:bookmarkStart w:id="5" w:name="_Toc144979127"/>
      <w:r w:rsidRPr="0055287A">
        <w:t>Security baseline binnen vendor riskmanagement</w:t>
      </w:r>
      <w:bookmarkEnd w:id="5"/>
      <w:r w:rsidRPr="0055287A">
        <w:t xml:space="preserve"> </w:t>
      </w:r>
    </w:p>
    <w:p w14:paraId="0F6D4BEA" w14:textId="568EAAC0" w:rsidR="00E34F54" w:rsidRDefault="00666325" w:rsidP="00666325">
      <w:pPr>
        <w:rPr>
          <w:lang w:eastAsia="nl-NL"/>
        </w:rPr>
      </w:pPr>
      <w:r>
        <w:rPr>
          <w:lang w:eastAsia="nl-NL"/>
        </w:rPr>
        <w:t>In 2022 zijn instellingen in samenwerking met SURF gestart met het project Vendor Riskmanagement. Het project onderzoekt hoe we op basis van risicoclassificaties kunnen beoordelen of leveranciers voldoende beveiligingsmaatregelen hebben genomen, om de security van hun diensten en applicaties te waarborgen. De security baseline bevat de vereisten waaraan leveranciers moeten voldoen. Momenteel werken wij uit hoe wij gaan toetsen of de beveiliging van ingekochte applicaties en systemen adequaat is, en hoe wij de resultaten van deze toetsen kunnen delen onder instellingen.</w:t>
      </w:r>
    </w:p>
    <w:p w14:paraId="739D1CF9" w14:textId="63EBB721" w:rsidR="00666325" w:rsidRDefault="00666325" w:rsidP="00666325">
      <w:pPr>
        <w:pStyle w:val="Kop2"/>
      </w:pPr>
      <w:bookmarkStart w:id="6" w:name="_Toc144979128"/>
      <w:r>
        <w:t>Aanvullingen MBO Digitaal</w:t>
      </w:r>
      <w:bookmarkEnd w:id="6"/>
    </w:p>
    <w:p w14:paraId="64DD55E3" w14:textId="4272C58F" w:rsidR="00666325" w:rsidRPr="00666325" w:rsidRDefault="00666325" w:rsidP="00666325">
      <w:pPr>
        <w:rPr>
          <w:lang w:eastAsia="nl-NL"/>
        </w:rPr>
      </w:pPr>
      <w:r w:rsidRPr="00666325">
        <w:rPr>
          <w:lang w:eastAsia="nl-NL"/>
        </w:rPr>
        <w:t>De Security Baseline is vertaald en</w:t>
      </w:r>
      <w:r>
        <w:rPr>
          <w:lang w:eastAsia="nl-NL"/>
        </w:rPr>
        <w:t xml:space="preserve"> aangevuld met de NBA control en de accountable.</w:t>
      </w:r>
    </w:p>
    <w:p w14:paraId="3D9DA130" w14:textId="4B00654A" w:rsidR="00666325" w:rsidRDefault="00666325">
      <w:pPr>
        <w:contextualSpacing w:val="0"/>
        <w:rPr>
          <w:rFonts w:eastAsiaTheme="majorEastAsia" w:cstheme="majorBidi"/>
          <w:b/>
          <w:bCs/>
          <w:iCs/>
          <w:color w:val="0070C0"/>
          <w:kern w:val="32"/>
          <w:sz w:val="28"/>
          <w:szCs w:val="32"/>
          <w:lang w:eastAsia="nl-NL"/>
        </w:rPr>
      </w:pPr>
      <w:r>
        <w:rPr>
          <w:rFonts w:eastAsiaTheme="majorEastAsia" w:cstheme="majorBidi"/>
          <w:b/>
          <w:bCs/>
          <w:iCs/>
          <w:color w:val="0070C0"/>
          <w:kern w:val="32"/>
          <w:sz w:val="28"/>
          <w:szCs w:val="32"/>
          <w:lang w:eastAsia="nl-NL"/>
        </w:rPr>
        <w:br w:type="page"/>
      </w:r>
    </w:p>
    <w:tbl>
      <w:tblPr>
        <w:tblStyle w:val="Tabelraster7"/>
        <w:tblW w:w="9918" w:type="dxa"/>
        <w:tblLook w:val="04A0" w:firstRow="1" w:lastRow="0" w:firstColumn="1" w:lastColumn="0" w:noHBand="0" w:noVBand="1"/>
      </w:tblPr>
      <w:tblGrid>
        <w:gridCol w:w="597"/>
        <w:gridCol w:w="2419"/>
        <w:gridCol w:w="2608"/>
        <w:gridCol w:w="2746"/>
        <w:gridCol w:w="1548"/>
      </w:tblGrid>
      <w:tr w:rsidR="00666325" w:rsidRPr="00666325" w14:paraId="143F026B" w14:textId="77777777" w:rsidTr="00666325">
        <w:tc>
          <w:tcPr>
            <w:tcW w:w="597" w:type="dxa"/>
          </w:tcPr>
          <w:p w14:paraId="6EE0E23A" w14:textId="77777777" w:rsidR="00666325" w:rsidRPr="00666325" w:rsidRDefault="00666325" w:rsidP="00666325">
            <w:pPr>
              <w:contextualSpacing w:val="0"/>
              <w:rPr>
                <w:rFonts w:eastAsia="Times New Roman" w:cs="Calibri"/>
                <w:b/>
                <w:bCs/>
                <w:sz w:val="24"/>
                <w:szCs w:val="24"/>
                <w:lang w:eastAsia="nl-NL"/>
              </w:rPr>
            </w:pPr>
            <w:bookmarkStart w:id="7" w:name="_Hlk139630629"/>
            <w:r w:rsidRPr="00666325">
              <w:rPr>
                <w:rFonts w:eastAsia="Times New Roman" w:cs="Calibri"/>
                <w:b/>
                <w:bCs/>
                <w:sz w:val="24"/>
                <w:szCs w:val="24"/>
                <w:lang w:eastAsia="nl-NL"/>
              </w:rPr>
              <w:lastRenderedPageBreak/>
              <w:t>Nr.</w:t>
            </w:r>
          </w:p>
        </w:tc>
        <w:tc>
          <w:tcPr>
            <w:tcW w:w="2419" w:type="dxa"/>
          </w:tcPr>
          <w:p w14:paraId="4453BC5D" w14:textId="77777777" w:rsidR="00666325" w:rsidRPr="00666325" w:rsidRDefault="00666325" w:rsidP="00666325">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(Engels)</w:t>
            </w:r>
          </w:p>
        </w:tc>
        <w:tc>
          <w:tcPr>
            <w:tcW w:w="2608" w:type="dxa"/>
            <w:tcMar>
              <w:right w:w="0" w:type="dxa"/>
            </w:tcMar>
          </w:tcPr>
          <w:p w14:paraId="5B6E07D6" w14:textId="77777777" w:rsidR="00666325" w:rsidRPr="00666325" w:rsidRDefault="00666325" w:rsidP="00666325">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(Nederlands)</w:t>
            </w:r>
          </w:p>
        </w:tc>
        <w:tc>
          <w:tcPr>
            <w:tcW w:w="2746" w:type="dxa"/>
          </w:tcPr>
          <w:p w14:paraId="272F8498" w14:textId="77777777" w:rsidR="00666325" w:rsidRPr="00666325" w:rsidRDefault="00666325" w:rsidP="00666325">
            <w:pPr>
              <w:contextualSpacing w:val="0"/>
              <w:rPr>
                <w:rFonts w:eastAsia="Times New Roman" w:cs="Calibri"/>
                <w:b/>
                <w:bCs/>
                <w:sz w:val="24"/>
                <w:szCs w:val="24"/>
                <w:lang w:eastAsia="nl-NL"/>
              </w:rPr>
            </w:pPr>
            <w:r w:rsidRPr="00666325">
              <w:rPr>
                <w:rFonts w:eastAsia="Times New Roman" w:cs="Calibri"/>
                <w:b/>
                <w:bCs/>
                <w:sz w:val="24"/>
                <w:szCs w:val="24"/>
                <w:lang w:eastAsia="nl-NL"/>
              </w:rPr>
              <w:t>Verwijzing (bijv. NBA)</w:t>
            </w:r>
          </w:p>
        </w:tc>
        <w:tc>
          <w:tcPr>
            <w:tcW w:w="1548" w:type="dxa"/>
          </w:tcPr>
          <w:p w14:paraId="64FE8B9D" w14:textId="77777777" w:rsidR="00666325" w:rsidRPr="00666325" w:rsidRDefault="00666325" w:rsidP="00666325">
            <w:pPr>
              <w:contextualSpacing w:val="0"/>
              <w:rPr>
                <w:rFonts w:eastAsia="Times New Roman" w:cs="Calibri"/>
                <w:b/>
                <w:bCs/>
                <w:sz w:val="24"/>
                <w:szCs w:val="24"/>
                <w:lang w:eastAsia="nl-NL"/>
              </w:rPr>
            </w:pPr>
            <w:r w:rsidRPr="00666325">
              <w:rPr>
                <w:rFonts w:eastAsia="Times New Roman" w:cs="Calibri"/>
                <w:b/>
                <w:bCs/>
                <w:sz w:val="24"/>
                <w:szCs w:val="24"/>
                <w:lang w:eastAsia="nl-NL"/>
              </w:rPr>
              <w:t>Accountable</w:t>
            </w:r>
          </w:p>
        </w:tc>
      </w:tr>
      <w:bookmarkEnd w:id="7"/>
      <w:tr w:rsidR="00666325" w:rsidRPr="00666325" w14:paraId="2F9AEC54" w14:textId="77777777" w:rsidTr="00666325">
        <w:tc>
          <w:tcPr>
            <w:tcW w:w="597" w:type="dxa"/>
          </w:tcPr>
          <w:p w14:paraId="504C8A6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w:t>
            </w:r>
          </w:p>
        </w:tc>
        <w:tc>
          <w:tcPr>
            <w:tcW w:w="2419" w:type="dxa"/>
          </w:tcPr>
          <w:p w14:paraId="2367635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SB.1.001 Acceptable use policy</w:t>
            </w:r>
          </w:p>
        </w:tc>
        <w:tc>
          <w:tcPr>
            <w:tcW w:w="2608" w:type="dxa"/>
          </w:tcPr>
          <w:p w14:paraId="505B087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Verantwoord netwerkgebruik</w:t>
            </w:r>
          </w:p>
        </w:tc>
        <w:tc>
          <w:tcPr>
            <w:tcW w:w="2746" w:type="dxa"/>
          </w:tcPr>
          <w:p w14:paraId="4F6009A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Document: Verantwoord netwerkgebruik</w:t>
            </w:r>
          </w:p>
        </w:tc>
        <w:tc>
          <w:tcPr>
            <w:tcW w:w="1548" w:type="dxa"/>
          </w:tcPr>
          <w:p w14:paraId="3260334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CvB en OR</w:t>
            </w:r>
          </w:p>
        </w:tc>
      </w:tr>
      <w:tr w:rsidR="00666325" w:rsidRPr="00666325" w14:paraId="210CB17A" w14:textId="77777777" w:rsidTr="00666325">
        <w:tc>
          <w:tcPr>
            <w:tcW w:w="597" w:type="dxa"/>
          </w:tcPr>
          <w:p w14:paraId="6569105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w:t>
            </w:r>
          </w:p>
        </w:tc>
        <w:tc>
          <w:tcPr>
            <w:tcW w:w="2419" w:type="dxa"/>
          </w:tcPr>
          <w:p w14:paraId="0AA4611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w w:val="95"/>
                <w:sz w:val="20"/>
                <w:lang w:val="en-AU" w:eastAsia="nl-NL"/>
              </w:rPr>
              <w:t>SB.1.002 Governance of Processes and System</w:t>
            </w:r>
          </w:p>
        </w:tc>
        <w:tc>
          <w:tcPr>
            <w:tcW w:w="2608" w:type="dxa"/>
          </w:tcPr>
          <w:p w14:paraId="5F2DDC37"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val="nl" w:eastAsia="nl-NL"/>
              </w:rPr>
              <w:t>Governance van processen en systemen</w:t>
            </w:r>
          </w:p>
        </w:tc>
        <w:tc>
          <w:tcPr>
            <w:tcW w:w="2746" w:type="dxa"/>
          </w:tcPr>
          <w:p w14:paraId="7D66058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1.2 (GO.02) Beleid</w:t>
            </w:r>
          </w:p>
          <w:p w14:paraId="4DEF7DF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2.1 (OR.01) Eigenaarschap</w:t>
            </w:r>
          </w:p>
          <w:p w14:paraId="77C11A5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9.1 (DM.01) Data (en systeem) eigenaarschap</w:t>
            </w:r>
          </w:p>
          <w:p w14:paraId="461B733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9.2 (DM.02) Classificatie</w:t>
            </w:r>
          </w:p>
          <w:p w14:paraId="2620AE8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9.3 (DM.03) Beveiligingseisen voor Datamanagement</w:t>
            </w:r>
          </w:p>
        </w:tc>
        <w:tc>
          <w:tcPr>
            <w:tcW w:w="1548" w:type="dxa"/>
          </w:tcPr>
          <w:p w14:paraId="4ED4097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CvB</w:t>
            </w:r>
          </w:p>
          <w:p w14:paraId="377C22A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CvB</w:t>
            </w:r>
          </w:p>
          <w:p w14:paraId="304B17C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p w14:paraId="4BDBC100" w14:textId="77777777" w:rsidR="00666325" w:rsidRPr="00666325" w:rsidRDefault="00666325" w:rsidP="00666325">
            <w:pPr>
              <w:contextualSpacing w:val="0"/>
              <w:rPr>
                <w:rFonts w:eastAsia="Times New Roman" w:cs="Calibri"/>
                <w:sz w:val="20"/>
                <w:lang w:eastAsia="nl-NL"/>
              </w:rPr>
            </w:pPr>
          </w:p>
          <w:p w14:paraId="4887EE1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p w14:paraId="21C516E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6FFB6D96" w14:textId="77777777" w:rsidTr="00666325">
        <w:tc>
          <w:tcPr>
            <w:tcW w:w="597" w:type="dxa"/>
          </w:tcPr>
          <w:p w14:paraId="7F015E12"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3.</w:t>
            </w:r>
          </w:p>
        </w:tc>
        <w:tc>
          <w:tcPr>
            <w:tcW w:w="2419" w:type="dxa"/>
          </w:tcPr>
          <w:p w14:paraId="7282E70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SB.1.004 Asset inventory</w:t>
            </w:r>
          </w:p>
        </w:tc>
        <w:tc>
          <w:tcPr>
            <w:tcW w:w="2608" w:type="dxa"/>
          </w:tcPr>
          <w:p w14:paraId="22E6CA25" w14:textId="4191BFC9"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Inventaris</w:t>
            </w:r>
            <w:r w:rsidR="008F502C">
              <w:rPr>
                <w:rFonts w:eastAsia="Times New Roman" w:cs="Calibri"/>
                <w:sz w:val="20"/>
                <w:lang w:val="nl" w:eastAsia="nl-NL"/>
              </w:rPr>
              <w:t>atie</w:t>
            </w:r>
            <w:r w:rsidRPr="00666325">
              <w:rPr>
                <w:rFonts w:eastAsia="Times New Roman" w:cs="Calibri"/>
                <w:sz w:val="20"/>
                <w:lang w:val="nl" w:eastAsia="nl-NL"/>
              </w:rPr>
              <w:t xml:space="preserve"> van bedrijfsmiddelen</w:t>
            </w:r>
          </w:p>
        </w:tc>
        <w:tc>
          <w:tcPr>
            <w:tcW w:w="2746" w:type="dxa"/>
          </w:tcPr>
          <w:p w14:paraId="0AE5C0F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5.1 (CO.01) Identificatie en onderhoud van configuratie-items</w:t>
            </w:r>
          </w:p>
        </w:tc>
        <w:tc>
          <w:tcPr>
            <w:tcW w:w="1548" w:type="dxa"/>
          </w:tcPr>
          <w:p w14:paraId="2B2971B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2A3E71B1" w14:textId="77777777" w:rsidTr="00666325">
        <w:tc>
          <w:tcPr>
            <w:tcW w:w="597" w:type="dxa"/>
          </w:tcPr>
          <w:p w14:paraId="1BA80EF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w:t>
            </w:r>
          </w:p>
        </w:tc>
        <w:tc>
          <w:tcPr>
            <w:tcW w:w="2419" w:type="dxa"/>
          </w:tcPr>
          <w:p w14:paraId="19534D7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SB.1.005 Asset registration</w:t>
            </w:r>
          </w:p>
        </w:tc>
        <w:tc>
          <w:tcPr>
            <w:tcW w:w="2608" w:type="dxa"/>
          </w:tcPr>
          <w:p w14:paraId="2BD05E8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Registratie van activa</w:t>
            </w:r>
          </w:p>
        </w:tc>
        <w:tc>
          <w:tcPr>
            <w:tcW w:w="2746" w:type="dxa"/>
          </w:tcPr>
          <w:p w14:paraId="73C6F14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5.2 (CO.02) Configuratiedatabase en baseline</w:t>
            </w:r>
          </w:p>
        </w:tc>
        <w:tc>
          <w:tcPr>
            <w:tcW w:w="1548" w:type="dxa"/>
          </w:tcPr>
          <w:p w14:paraId="322400C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3A3DFF17" w14:textId="77777777" w:rsidTr="00666325">
        <w:tc>
          <w:tcPr>
            <w:tcW w:w="597" w:type="dxa"/>
          </w:tcPr>
          <w:p w14:paraId="389C4AE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w:t>
            </w:r>
          </w:p>
        </w:tc>
        <w:tc>
          <w:tcPr>
            <w:tcW w:w="2419" w:type="dxa"/>
          </w:tcPr>
          <w:p w14:paraId="5EF22AD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SB.1.006 Detection of assets</w:t>
            </w:r>
          </w:p>
        </w:tc>
        <w:tc>
          <w:tcPr>
            <w:tcW w:w="2608" w:type="dxa"/>
          </w:tcPr>
          <w:p w14:paraId="0B62CA1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Detectie van activa</w:t>
            </w:r>
          </w:p>
        </w:tc>
        <w:tc>
          <w:tcPr>
            <w:tcW w:w="2746" w:type="dxa"/>
          </w:tcPr>
          <w:p w14:paraId="67F050A3"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 xml:space="preserve">5.2 (CO.02) Configuratiedatabase en baseline </w:t>
            </w:r>
            <w:r w:rsidRPr="00666325">
              <w:rPr>
                <w:rFonts w:eastAsia="Times New Roman" w:cs="Calibri"/>
                <w:b/>
                <w:bCs/>
                <w:color w:val="FF0000"/>
                <w:sz w:val="20"/>
                <w:lang w:val="en-AU" w:eastAsia="nl-NL"/>
              </w:rPr>
              <w:t>niveau 4</w:t>
            </w:r>
          </w:p>
        </w:tc>
        <w:tc>
          <w:tcPr>
            <w:tcW w:w="1548" w:type="dxa"/>
          </w:tcPr>
          <w:p w14:paraId="09526D76"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tc>
      </w:tr>
      <w:tr w:rsidR="00666325" w:rsidRPr="00666325" w14:paraId="7A29EBC3" w14:textId="77777777" w:rsidTr="00666325">
        <w:tc>
          <w:tcPr>
            <w:tcW w:w="597" w:type="dxa"/>
          </w:tcPr>
          <w:p w14:paraId="776FEA2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w:t>
            </w:r>
          </w:p>
        </w:tc>
        <w:tc>
          <w:tcPr>
            <w:tcW w:w="2419" w:type="dxa"/>
          </w:tcPr>
          <w:p w14:paraId="1B778B8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SB.1.008 Patch management</w:t>
            </w:r>
          </w:p>
        </w:tc>
        <w:tc>
          <w:tcPr>
            <w:tcW w:w="2608" w:type="dxa"/>
          </w:tcPr>
          <w:p w14:paraId="542F8E8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Patchbeheer</w:t>
            </w:r>
          </w:p>
        </w:tc>
        <w:tc>
          <w:tcPr>
            <w:tcW w:w="2746" w:type="dxa"/>
          </w:tcPr>
          <w:p w14:paraId="3F7BD9D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11.6 (SM.06) Patchmanagement</w:t>
            </w:r>
          </w:p>
        </w:tc>
        <w:tc>
          <w:tcPr>
            <w:tcW w:w="1548" w:type="dxa"/>
          </w:tcPr>
          <w:p w14:paraId="0D61C0B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8466AF3" w14:textId="77777777" w:rsidTr="00666325">
        <w:tc>
          <w:tcPr>
            <w:tcW w:w="597" w:type="dxa"/>
          </w:tcPr>
          <w:p w14:paraId="3546912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w:t>
            </w:r>
          </w:p>
        </w:tc>
        <w:tc>
          <w:tcPr>
            <w:tcW w:w="2419" w:type="dxa"/>
          </w:tcPr>
          <w:p w14:paraId="6F3B3BA3"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eastAsia="nl-NL"/>
              </w:rPr>
              <w:t>SB.1.009 Emergency updates</w:t>
            </w:r>
          </w:p>
        </w:tc>
        <w:tc>
          <w:tcPr>
            <w:tcW w:w="2608" w:type="dxa"/>
          </w:tcPr>
          <w:p w14:paraId="4E6BDE71"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val="nl" w:eastAsia="nl-NL"/>
              </w:rPr>
              <w:t>Noodupdates</w:t>
            </w:r>
          </w:p>
        </w:tc>
        <w:tc>
          <w:tcPr>
            <w:tcW w:w="2746" w:type="dxa"/>
          </w:tcPr>
          <w:p w14:paraId="1B41633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7.3 (CH.03) Noodaanpassingen</w:t>
            </w:r>
          </w:p>
        </w:tc>
        <w:tc>
          <w:tcPr>
            <w:tcW w:w="1548" w:type="dxa"/>
          </w:tcPr>
          <w:p w14:paraId="368786A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7E0662B2" w14:textId="77777777" w:rsidTr="00666325">
        <w:tc>
          <w:tcPr>
            <w:tcW w:w="597" w:type="dxa"/>
          </w:tcPr>
          <w:p w14:paraId="1081A66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w:t>
            </w:r>
          </w:p>
        </w:tc>
        <w:tc>
          <w:tcPr>
            <w:tcW w:w="2419" w:type="dxa"/>
          </w:tcPr>
          <w:p w14:paraId="58DA5546"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SB.1.011 Security in projects and changes</w:t>
            </w:r>
          </w:p>
        </w:tc>
        <w:tc>
          <w:tcPr>
            <w:tcW w:w="2608" w:type="dxa"/>
          </w:tcPr>
          <w:p w14:paraId="4B0648A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Beveiliging in projecten en wijzigingen</w:t>
            </w:r>
          </w:p>
        </w:tc>
        <w:tc>
          <w:tcPr>
            <w:tcW w:w="2746" w:type="dxa"/>
          </w:tcPr>
          <w:p w14:paraId="4B1F046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7.1 (CH.01) Normen en procedures voor aanpassingen</w:t>
            </w:r>
          </w:p>
          <w:p w14:paraId="7FF9421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7.2 (CH.02) Impact assessment, prioriteren en autoriseren</w:t>
            </w:r>
          </w:p>
        </w:tc>
        <w:tc>
          <w:tcPr>
            <w:tcW w:w="1548" w:type="dxa"/>
          </w:tcPr>
          <w:p w14:paraId="1869D95B"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p w14:paraId="2FC43FEB" w14:textId="77777777" w:rsidR="00666325" w:rsidRPr="00666325" w:rsidRDefault="00666325" w:rsidP="00666325">
            <w:pPr>
              <w:contextualSpacing w:val="0"/>
              <w:rPr>
                <w:rFonts w:eastAsia="Times New Roman" w:cs="Calibri"/>
                <w:sz w:val="20"/>
                <w:lang w:val="en-AU" w:eastAsia="nl-NL"/>
              </w:rPr>
            </w:pPr>
          </w:p>
          <w:p w14:paraId="16D4D544"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tc>
      </w:tr>
      <w:tr w:rsidR="00666325" w:rsidRPr="00666325" w14:paraId="197DC678" w14:textId="77777777" w:rsidTr="00666325">
        <w:tc>
          <w:tcPr>
            <w:tcW w:w="597" w:type="dxa"/>
          </w:tcPr>
          <w:p w14:paraId="5605546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9.</w:t>
            </w:r>
          </w:p>
        </w:tc>
        <w:tc>
          <w:tcPr>
            <w:tcW w:w="2419" w:type="dxa"/>
          </w:tcPr>
          <w:p w14:paraId="2584CCE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SB.1.014 Domain reservations</w:t>
            </w:r>
          </w:p>
        </w:tc>
        <w:tc>
          <w:tcPr>
            <w:tcW w:w="2608" w:type="dxa"/>
          </w:tcPr>
          <w:p w14:paraId="72B5F56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Domein reserveringen</w:t>
            </w:r>
          </w:p>
        </w:tc>
        <w:tc>
          <w:tcPr>
            <w:tcW w:w="2746" w:type="dxa"/>
          </w:tcPr>
          <w:p w14:paraId="4993C2A3" w14:textId="77777777" w:rsidR="00666325" w:rsidRPr="00666325" w:rsidRDefault="00666325" w:rsidP="00666325">
            <w:pPr>
              <w:contextualSpacing w:val="0"/>
              <w:rPr>
                <w:rFonts w:eastAsia="Times New Roman" w:cs="Calibri"/>
                <w:color w:val="FF0000"/>
                <w:sz w:val="20"/>
                <w:lang w:eastAsia="nl-NL"/>
              </w:rPr>
            </w:pPr>
            <w:r w:rsidRPr="00666325">
              <w:rPr>
                <w:rFonts w:eastAsia="Times New Roman" w:cs="Calibri"/>
                <w:color w:val="FF0000"/>
                <w:sz w:val="20"/>
                <w:lang w:eastAsia="nl-NL"/>
              </w:rPr>
              <w:t>Aanvullend beleid</w:t>
            </w:r>
          </w:p>
        </w:tc>
        <w:tc>
          <w:tcPr>
            <w:tcW w:w="1548" w:type="dxa"/>
          </w:tcPr>
          <w:p w14:paraId="449EC1C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4C44F835" w14:textId="77777777" w:rsidTr="00666325">
        <w:tc>
          <w:tcPr>
            <w:tcW w:w="597" w:type="dxa"/>
          </w:tcPr>
          <w:p w14:paraId="093399C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w:t>
            </w:r>
          </w:p>
        </w:tc>
        <w:tc>
          <w:tcPr>
            <w:tcW w:w="2419" w:type="dxa"/>
          </w:tcPr>
          <w:p w14:paraId="1B9F12E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SB.1.015 Software Bill-of-Materials</w:t>
            </w:r>
          </w:p>
        </w:tc>
        <w:tc>
          <w:tcPr>
            <w:tcW w:w="2608" w:type="dxa"/>
          </w:tcPr>
          <w:p w14:paraId="40A4F6D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Software stuklijst</w:t>
            </w:r>
          </w:p>
        </w:tc>
        <w:tc>
          <w:tcPr>
            <w:tcW w:w="2746" w:type="dxa"/>
          </w:tcPr>
          <w:p w14:paraId="139D9408" w14:textId="77777777" w:rsidR="00666325" w:rsidRPr="00666325" w:rsidRDefault="00666325" w:rsidP="00666325">
            <w:pPr>
              <w:contextualSpacing w:val="0"/>
              <w:rPr>
                <w:rFonts w:eastAsia="Times New Roman" w:cs="Calibri"/>
                <w:color w:val="FF0000"/>
                <w:sz w:val="20"/>
                <w:lang w:val="en-AU" w:eastAsia="nl-NL"/>
              </w:rPr>
            </w:pPr>
            <w:r w:rsidRPr="00666325">
              <w:rPr>
                <w:rFonts w:eastAsia="Times New Roman" w:cs="Calibri"/>
                <w:color w:val="FF0000"/>
                <w:sz w:val="20"/>
                <w:lang w:val="en-AU" w:eastAsia="nl-NL"/>
              </w:rPr>
              <w:t>15.5 (SC.05) Aanbesteding</w:t>
            </w:r>
          </w:p>
          <w:p w14:paraId="1F44C429" w14:textId="77777777" w:rsidR="00666325" w:rsidRPr="00666325" w:rsidRDefault="00666325" w:rsidP="00666325">
            <w:pPr>
              <w:contextualSpacing w:val="0"/>
              <w:rPr>
                <w:rFonts w:eastAsia="Times New Roman" w:cs="Calibri"/>
                <w:b/>
                <w:bCs/>
                <w:i/>
                <w:iCs/>
                <w:sz w:val="20"/>
                <w:lang w:val="en-AU" w:eastAsia="nl-NL"/>
              </w:rPr>
            </w:pPr>
            <w:r w:rsidRPr="00666325">
              <w:rPr>
                <w:rFonts w:eastAsia="Times New Roman" w:cs="Calibri"/>
                <w:b/>
                <w:bCs/>
                <w:i/>
                <w:iCs/>
                <w:color w:val="FF0000"/>
                <w:sz w:val="20"/>
                <w:lang w:val="en-AU" w:eastAsia="nl-NL"/>
              </w:rPr>
              <w:t>NIEUWE CONTROL</w:t>
            </w:r>
          </w:p>
        </w:tc>
        <w:tc>
          <w:tcPr>
            <w:tcW w:w="1548" w:type="dxa"/>
          </w:tcPr>
          <w:p w14:paraId="2C2616C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Inkoop</w:t>
            </w:r>
          </w:p>
        </w:tc>
      </w:tr>
      <w:tr w:rsidR="00666325" w:rsidRPr="00666325" w14:paraId="54E07A11" w14:textId="77777777" w:rsidTr="00666325">
        <w:tc>
          <w:tcPr>
            <w:tcW w:w="597" w:type="dxa"/>
          </w:tcPr>
          <w:p w14:paraId="0CF2E54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11.</w:t>
            </w:r>
          </w:p>
        </w:tc>
        <w:tc>
          <w:tcPr>
            <w:tcW w:w="2419" w:type="dxa"/>
          </w:tcPr>
          <w:p w14:paraId="5D523DA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SB.1.016 Supplier Security Management</w:t>
            </w:r>
          </w:p>
        </w:tc>
        <w:tc>
          <w:tcPr>
            <w:tcW w:w="2608" w:type="dxa"/>
          </w:tcPr>
          <w:p w14:paraId="3713918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Leveranciersbeveiligingsbeheer</w:t>
            </w:r>
          </w:p>
        </w:tc>
        <w:tc>
          <w:tcPr>
            <w:tcW w:w="2746" w:type="dxa"/>
          </w:tcPr>
          <w:p w14:paraId="04C380F4" w14:textId="77777777" w:rsidR="00666325" w:rsidRPr="00666325" w:rsidRDefault="00666325" w:rsidP="00666325">
            <w:pPr>
              <w:contextualSpacing w:val="0"/>
              <w:rPr>
                <w:rFonts w:eastAsia="Times New Roman" w:cs="Calibri"/>
                <w:color w:val="FF0000"/>
                <w:sz w:val="20"/>
                <w:lang w:val="en-AU" w:eastAsia="nl-NL"/>
              </w:rPr>
            </w:pPr>
            <w:r w:rsidRPr="00666325">
              <w:rPr>
                <w:rFonts w:eastAsia="Times New Roman" w:cs="Calibri"/>
                <w:color w:val="FF0000"/>
                <w:sz w:val="20"/>
                <w:lang w:val="en-AU" w:eastAsia="nl-NL"/>
              </w:rPr>
              <w:t>15.5 (SC.05) Aanbesteding</w:t>
            </w:r>
          </w:p>
          <w:p w14:paraId="5B36C2FE" w14:textId="77777777" w:rsidR="00666325" w:rsidRPr="00666325" w:rsidRDefault="00666325" w:rsidP="00666325">
            <w:pPr>
              <w:contextualSpacing w:val="0"/>
              <w:rPr>
                <w:rFonts w:eastAsia="Times New Roman" w:cs="Calibri"/>
                <w:sz w:val="20"/>
                <w:lang w:eastAsia="nl-NL"/>
              </w:rPr>
            </w:pPr>
            <w:r w:rsidRPr="00666325">
              <w:rPr>
                <w:rFonts w:eastAsia="Times New Roman" w:cs="Calibri"/>
                <w:b/>
                <w:bCs/>
                <w:i/>
                <w:iCs/>
                <w:color w:val="FF0000"/>
                <w:sz w:val="20"/>
                <w:lang w:val="en-AU" w:eastAsia="nl-NL"/>
              </w:rPr>
              <w:t>NIEUWE CONTROL</w:t>
            </w:r>
          </w:p>
        </w:tc>
        <w:tc>
          <w:tcPr>
            <w:tcW w:w="1548" w:type="dxa"/>
          </w:tcPr>
          <w:p w14:paraId="5EE3668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Inkoop</w:t>
            </w:r>
          </w:p>
        </w:tc>
      </w:tr>
      <w:tr w:rsidR="00666325" w:rsidRPr="00666325" w14:paraId="63F1F452" w14:textId="77777777" w:rsidTr="00666325">
        <w:tc>
          <w:tcPr>
            <w:tcW w:w="597" w:type="dxa"/>
          </w:tcPr>
          <w:p w14:paraId="42B7CD2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12.</w:t>
            </w:r>
          </w:p>
        </w:tc>
        <w:tc>
          <w:tcPr>
            <w:tcW w:w="2419" w:type="dxa"/>
          </w:tcPr>
          <w:p w14:paraId="2045DEA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SB.2.001 Backup procedure</w:t>
            </w:r>
          </w:p>
        </w:tc>
        <w:tc>
          <w:tcPr>
            <w:tcW w:w="2608" w:type="dxa"/>
          </w:tcPr>
          <w:p w14:paraId="337BA12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Back-up procedure</w:t>
            </w:r>
          </w:p>
        </w:tc>
        <w:tc>
          <w:tcPr>
            <w:tcW w:w="2746" w:type="dxa"/>
          </w:tcPr>
          <w:p w14:paraId="28E34CD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13.2 (OP.02) Procedure voor back-up en herstel</w:t>
            </w:r>
          </w:p>
        </w:tc>
        <w:tc>
          <w:tcPr>
            <w:tcW w:w="1548" w:type="dxa"/>
          </w:tcPr>
          <w:p w14:paraId="3308640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992A259" w14:textId="77777777" w:rsidTr="00666325">
        <w:tc>
          <w:tcPr>
            <w:tcW w:w="597" w:type="dxa"/>
          </w:tcPr>
          <w:p w14:paraId="5436EC3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13.</w:t>
            </w:r>
          </w:p>
        </w:tc>
        <w:tc>
          <w:tcPr>
            <w:tcW w:w="2419" w:type="dxa"/>
          </w:tcPr>
          <w:p w14:paraId="5A0FFE0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SB.2.002 Datacenter uptime</w:t>
            </w:r>
          </w:p>
        </w:tc>
        <w:tc>
          <w:tcPr>
            <w:tcW w:w="2608" w:type="dxa"/>
          </w:tcPr>
          <w:p w14:paraId="329201E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Uptime van datacenter</w:t>
            </w:r>
          </w:p>
        </w:tc>
        <w:tc>
          <w:tcPr>
            <w:tcW w:w="2746" w:type="dxa"/>
          </w:tcPr>
          <w:p w14:paraId="2660CCB2" w14:textId="77777777" w:rsidR="00666325" w:rsidRPr="00666325" w:rsidRDefault="00666325" w:rsidP="00666325">
            <w:pPr>
              <w:contextualSpacing w:val="0"/>
              <w:rPr>
                <w:rFonts w:eastAsia="Times New Roman" w:cs="Calibri"/>
                <w:color w:val="FF0000"/>
                <w:sz w:val="20"/>
                <w:lang w:val="en-AU" w:eastAsia="nl-NL"/>
              </w:rPr>
            </w:pPr>
            <w:r w:rsidRPr="00666325">
              <w:rPr>
                <w:rFonts w:eastAsia="Times New Roman" w:cs="Calibri"/>
                <w:color w:val="FF0000"/>
                <w:sz w:val="20"/>
                <w:lang w:val="en-AU" w:eastAsia="nl-NL"/>
              </w:rPr>
              <w:t>15.5 (SC.05) Aanbesteding</w:t>
            </w:r>
          </w:p>
          <w:p w14:paraId="6A999C35" w14:textId="77777777" w:rsidR="00666325" w:rsidRPr="00666325" w:rsidRDefault="00666325" w:rsidP="00666325">
            <w:pPr>
              <w:contextualSpacing w:val="0"/>
              <w:rPr>
                <w:rFonts w:eastAsia="Times New Roman" w:cs="Calibri"/>
                <w:sz w:val="20"/>
                <w:lang w:eastAsia="nl-NL"/>
              </w:rPr>
            </w:pPr>
            <w:r w:rsidRPr="00666325">
              <w:rPr>
                <w:rFonts w:eastAsia="Times New Roman" w:cs="Calibri"/>
                <w:b/>
                <w:bCs/>
                <w:i/>
                <w:iCs/>
                <w:color w:val="FF0000"/>
                <w:sz w:val="20"/>
                <w:lang w:val="en-AU" w:eastAsia="nl-NL"/>
              </w:rPr>
              <w:t>NIEUWE CONTROL</w:t>
            </w:r>
          </w:p>
        </w:tc>
        <w:tc>
          <w:tcPr>
            <w:tcW w:w="1548" w:type="dxa"/>
          </w:tcPr>
          <w:p w14:paraId="220A8B6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Inkoop</w:t>
            </w:r>
          </w:p>
        </w:tc>
      </w:tr>
      <w:tr w:rsidR="00666325" w:rsidRPr="00666325" w14:paraId="15B13C52" w14:textId="77777777" w:rsidTr="00666325">
        <w:tc>
          <w:tcPr>
            <w:tcW w:w="597" w:type="dxa"/>
          </w:tcPr>
          <w:p w14:paraId="596ADF1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14.</w:t>
            </w:r>
          </w:p>
        </w:tc>
        <w:tc>
          <w:tcPr>
            <w:tcW w:w="2419" w:type="dxa"/>
          </w:tcPr>
          <w:p w14:paraId="73FD360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SB.2.003 Offline backup</w:t>
            </w:r>
          </w:p>
        </w:tc>
        <w:tc>
          <w:tcPr>
            <w:tcW w:w="2608" w:type="dxa"/>
          </w:tcPr>
          <w:p w14:paraId="540E2E4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Offline back-up</w:t>
            </w:r>
          </w:p>
        </w:tc>
        <w:tc>
          <w:tcPr>
            <w:tcW w:w="2746" w:type="dxa"/>
          </w:tcPr>
          <w:p w14:paraId="3F12AA0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14.3 (BC-03) Offsite back-upopslag</w:t>
            </w:r>
          </w:p>
        </w:tc>
        <w:tc>
          <w:tcPr>
            <w:tcW w:w="1548" w:type="dxa"/>
          </w:tcPr>
          <w:p w14:paraId="4A11533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Facilitair</w:t>
            </w:r>
          </w:p>
        </w:tc>
      </w:tr>
      <w:tr w:rsidR="00666325" w:rsidRPr="00666325" w14:paraId="62BA35E0" w14:textId="77777777" w:rsidTr="00666325">
        <w:tc>
          <w:tcPr>
            <w:tcW w:w="597" w:type="dxa"/>
          </w:tcPr>
          <w:p w14:paraId="4B63CE2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15.</w:t>
            </w:r>
          </w:p>
        </w:tc>
        <w:tc>
          <w:tcPr>
            <w:tcW w:w="2419" w:type="dxa"/>
          </w:tcPr>
          <w:p w14:paraId="4EE7DEF8"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eastAsia="nl-NL"/>
              </w:rPr>
              <w:t>SB.3.001 Encrypted connections</w:t>
            </w:r>
          </w:p>
        </w:tc>
        <w:tc>
          <w:tcPr>
            <w:tcW w:w="2608" w:type="dxa"/>
          </w:tcPr>
          <w:p w14:paraId="3061AA29" w14:textId="77777777" w:rsidR="00666325" w:rsidRPr="00666325" w:rsidRDefault="00666325" w:rsidP="00666325">
            <w:pPr>
              <w:shd w:val="clear" w:color="auto" w:fill="FDFDFD"/>
              <w:contextualSpacing w:val="0"/>
              <w:rPr>
                <w:rFonts w:eastAsia="Times New Roman" w:cs="Calibri"/>
                <w:sz w:val="20"/>
                <w:lang w:eastAsia="nl-NL"/>
              </w:rPr>
            </w:pPr>
            <w:r w:rsidRPr="00666325">
              <w:rPr>
                <w:rFonts w:eastAsia="Times New Roman" w:cs="Calibri"/>
                <w:sz w:val="20"/>
                <w:lang w:eastAsia="nl-NL"/>
              </w:rPr>
              <w:t xml:space="preserve">Versleutelde </w:t>
            </w:r>
            <w:r w:rsidRPr="00666325">
              <w:rPr>
                <w:rFonts w:eastAsia="Times New Roman" w:cs="Calibri"/>
                <w:sz w:val="20"/>
                <w:shd w:val="clear" w:color="auto" w:fill="FFFFFF"/>
                <w:lang w:eastAsia="nl-NL"/>
              </w:rPr>
              <w:t>verbindingen</w:t>
            </w:r>
          </w:p>
        </w:tc>
        <w:tc>
          <w:tcPr>
            <w:tcW w:w="2746" w:type="dxa"/>
          </w:tcPr>
          <w:p w14:paraId="2DC9A71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11.10 (SM.10) Cryptographic Key Management</w:t>
            </w:r>
          </w:p>
        </w:tc>
        <w:tc>
          <w:tcPr>
            <w:tcW w:w="1548" w:type="dxa"/>
          </w:tcPr>
          <w:p w14:paraId="2C1CAA3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2DCF7BAC" w14:textId="77777777" w:rsidTr="00666325">
        <w:tc>
          <w:tcPr>
            <w:tcW w:w="597" w:type="dxa"/>
          </w:tcPr>
          <w:p w14:paraId="1CB1B9E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16.</w:t>
            </w:r>
          </w:p>
        </w:tc>
        <w:tc>
          <w:tcPr>
            <w:tcW w:w="2419" w:type="dxa"/>
          </w:tcPr>
          <w:p w14:paraId="693693F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SB.3.002 Email forwarding</w:t>
            </w:r>
          </w:p>
        </w:tc>
        <w:tc>
          <w:tcPr>
            <w:tcW w:w="2608" w:type="dxa"/>
          </w:tcPr>
          <w:p w14:paraId="6DD8110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E-mail doorsturen</w:t>
            </w:r>
          </w:p>
        </w:tc>
        <w:tc>
          <w:tcPr>
            <w:tcW w:w="2746" w:type="dxa"/>
          </w:tcPr>
          <w:p w14:paraId="1512E5C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Document: Verantwoord netwerkgebruik</w:t>
            </w:r>
          </w:p>
        </w:tc>
        <w:tc>
          <w:tcPr>
            <w:tcW w:w="1548" w:type="dxa"/>
          </w:tcPr>
          <w:p w14:paraId="1105FD3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CvB en OR</w:t>
            </w:r>
          </w:p>
        </w:tc>
      </w:tr>
      <w:tr w:rsidR="00666325" w:rsidRPr="00666325" w14:paraId="0FDDEA49" w14:textId="77777777" w:rsidTr="00666325">
        <w:tc>
          <w:tcPr>
            <w:tcW w:w="597" w:type="dxa"/>
          </w:tcPr>
          <w:p w14:paraId="0BC84FC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17.</w:t>
            </w:r>
          </w:p>
        </w:tc>
        <w:tc>
          <w:tcPr>
            <w:tcW w:w="2419" w:type="dxa"/>
          </w:tcPr>
          <w:p w14:paraId="1EA9340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SB.3.003 Technical email security</w:t>
            </w:r>
          </w:p>
        </w:tc>
        <w:tc>
          <w:tcPr>
            <w:tcW w:w="2608" w:type="dxa"/>
          </w:tcPr>
          <w:p w14:paraId="5C3E976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Technische e-mailbeveiliging</w:t>
            </w:r>
          </w:p>
        </w:tc>
        <w:tc>
          <w:tcPr>
            <w:tcW w:w="2746" w:type="dxa"/>
          </w:tcPr>
          <w:p w14:paraId="6842817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11.12 (SM.12) Beheersing van malware-aanvallen</w:t>
            </w:r>
          </w:p>
        </w:tc>
        <w:tc>
          <w:tcPr>
            <w:tcW w:w="1548" w:type="dxa"/>
          </w:tcPr>
          <w:p w14:paraId="5A6C82A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7343AB3F" w14:textId="77777777" w:rsidTr="00666325">
        <w:tc>
          <w:tcPr>
            <w:tcW w:w="597" w:type="dxa"/>
          </w:tcPr>
          <w:p w14:paraId="4F71B84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18.</w:t>
            </w:r>
          </w:p>
        </w:tc>
        <w:tc>
          <w:tcPr>
            <w:tcW w:w="2419" w:type="dxa"/>
          </w:tcPr>
          <w:p w14:paraId="58B759C0"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SB.3.004 Warnings on external communication</w:t>
            </w:r>
          </w:p>
        </w:tc>
        <w:tc>
          <w:tcPr>
            <w:tcW w:w="2608" w:type="dxa"/>
          </w:tcPr>
          <w:p w14:paraId="0CFB126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Waarschuwingen voor externe communicatie</w:t>
            </w:r>
          </w:p>
        </w:tc>
        <w:tc>
          <w:tcPr>
            <w:tcW w:w="2746" w:type="dxa"/>
          </w:tcPr>
          <w:p w14:paraId="16FE230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11.12 (SM.12) Beheersing van malware-aanvallen</w:t>
            </w:r>
          </w:p>
        </w:tc>
        <w:tc>
          <w:tcPr>
            <w:tcW w:w="1548" w:type="dxa"/>
          </w:tcPr>
          <w:p w14:paraId="2E93B2EB"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Hoofd IT</w:t>
            </w:r>
          </w:p>
        </w:tc>
      </w:tr>
      <w:tr w:rsidR="00666325" w:rsidRPr="00666325" w14:paraId="5EF72723" w14:textId="77777777" w:rsidTr="00666325">
        <w:tc>
          <w:tcPr>
            <w:tcW w:w="597" w:type="dxa"/>
          </w:tcPr>
          <w:p w14:paraId="060D93D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19.</w:t>
            </w:r>
          </w:p>
        </w:tc>
        <w:tc>
          <w:tcPr>
            <w:tcW w:w="2419" w:type="dxa"/>
          </w:tcPr>
          <w:p w14:paraId="51ED4DA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SB.3.005 Organizational mails</w:t>
            </w:r>
          </w:p>
        </w:tc>
        <w:tc>
          <w:tcPr>
            <w:tcW w:w="2608" w:type="dxa"/>
          </w:tcPr>
          <w:p w14:paraId="17C8385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Organisatorische mails</w:t>
            </w:r>
          </w:p>
        </w:tc>
        <w:tc>
          <w:tcPr>
            <w:tcW w:w="2746" w:type="dxa"/>
          </w:tcPr>
          <w:p w14:paraId="7726181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11.12 (SM.12) Beheersing van malware-aanvallen</w:t>
            </w:r>
          </w:p>
        </w:tc>
        <w:tc>
          <w:tcPr>
            <w:tcW w:w="1548" w:type="dxa"/>
          </w:tcPr>
          <w:p w14:paraId="0B76932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B820DF" w14:paraId="4BDC22D5" w14:textId="77777777" w:rsidTr="00666325">
        <w:tc>
          <w:tcPr>
            <w:tcW w:w="597" w:type="dxa"/>
          </w:tcPr>
          <w:p w14:paraId="4AA554D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20.</w:t>
            </w:r>
          </w:p>
        </w:tc>
        <w:tc>
          <w:tcPr>
            <w:tcW w:w="2419" w:type="dxa"/>
          </w:tcPr>
          <w:p w14:paraId="43B5726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SB.4.001 Incident response procedure</w:t>
            </w:r>
          </w:p>
        </w:tc>
        <w:tc>
          <w:tcPr>
            <w:tcW w:w="2608" w:type="dxa"/>
          </w:tcPr>
          <w:p w14:paraId="22F1FA1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Incident response procedure</w:t>
            </w:r>
          </w:p>
        </w:tc>
        <w:tc>
          <w:tcPr>
            <w:tcW w:w="2746" w:type="dxa"/>
          </w:tcPr>
          <w:p w14:paraId="3814DC3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6.1 (IM.01) Incident management</w:t>
            </w:r>
          </w:p>
          <w:p w14:paraId="1350EDD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6.2 (IM.02) Incident escalatie</w:t>
            </w:r>
          </w:p>
          <w:p w14:paraId="22C226DB"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 xml:space="preserve">6.3 (IM.03) Incidenterespons op (cyber) beveiligingsincidenten </w:t>
            </w:r>
          </w:p>
        </w:tc>
        <w:tc>
          <w:tcPr>
            <w:tcW w:w="1548" w:type="dxa"/>
          </w:tcPr>
          <w:p w14:paraId="0D5964C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p w14:paraId="397C934B"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p w14:paraId="7B2B6C06"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tc>
      </w:tr>
    </w:tbl>
    <w:p w14:paraId="1D69CE5B" w14:textId="77777777" w:rsidR="00544B06" w:rsidRPr="0055287A" w:rsidRDefault="00544B06">
      <w:pPr>
        <w:rPr>
          <w:lang w:val="en-AU"/>
        </w:rPr>
      </w:pPr>
      <w:r w:rsidRPr="0055287A">
        <w:rPr>
          <w:lang w:val="en-AU"/>
        </w:rPr>
        <w:br w:type="page"/>
      </w:r>
    </w:p>
    <w:tbl>
      <w:tblPr>
        <w:tblStyle w:val="Tabelraster7"/>
        <w:tblW w:w="9918" w:type="dxa"/>
        <w:tblLook w:val="04A0" w:firstRow="1" w:lastRow="0" w:firstColumn="1" w:lastColumn="0" w:noHBand="0" w:noVBand="1"/>
      </w:tblPr>
      <w:tblGrid>
        <w:gridCol w:w="597"/>
        <w:gridCol w:w="2419"/>
        <w:gridCol w:w="2608"/>
        <w:gridCol w:w="2746"/>
        <w:gridCol w:w="1548"/>
      </w:tblGrid>
      <w:tr w:rsidR="00544B06" w:rsidRPr="00666325" w14:paraId="093D094F" w14:textId="77777777" w:rsidTr="003B52A0">
        <w:tc>
          <w:tcPr>
            <w:tcW w:w="597" w:type="dxa"/>
          </w:tcPr>
          <w:p w14:paraId="5999AB25"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lastRenderedPageBreak/>
              <w:t>Nr.</w:t>
            </w:r>
          </w:p>
        </w:tc>
        <w:tc>
          <w:tcPr>
            <w:tcW w:w="2419" w:type="dxa"/>
          </w:tcPr>
          <w:p w14:paraId="774789F9"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(Engels)</w:t>
            </w:r>
          </w:p>
        </w:tc>
        <w:tc>
          <w:tcPr>
            <w:tcW w:w="2608" w:type="dxa"/>
            <w:tcMar>
              <w:right w:w="0" w:type="dxa"/>
            </w:tcMar>
          </w:tcPr>
          <w:p w14:paraId="0E850601"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(Nederlands)</w:t>
            </w:r>
          </w:p>
        </w:tc>
        <w:tc>
          <w:tcPr>
            <w:tcW w:w="2746" w:type="dxa"/>
          </w:tcPr>
          <w:p w14:paraId="2044013F"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Verwijzing (bijv. NBA)</w:t>
            </w:r>
          </w:p>
        </w:tc>
        <w:tc>
          <w:tcPr>
            <w:tcW w:w="1548" w:type="dxa"/>
          </w:tcPr>
          <w:p w14:paraId="6BF0A028"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Accountable</w:t>
            </w:r>
          </w:p>
        </w:tc>
      </w:tr>
      <w:tr w:rsidR="00666325" w:rsidRPr="00666325" w14:paraId="7E148DA8" w14:textId="77777777" w:rsidTr="00666325">
        <w:tc>
          <w:tcPr>
            <w:tcW w:w="597" w:type="dxa"/>
          </w:tcPr>
          <w:p w14:paraId="57311A92" w14:textId="215D8FFE"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21.</w:t>
            </w:r>
          </w:p>
        </w:tc>
        <w:tc>
          <w:tcPr>
            <w:tcW w:w="2419" w:type="dxa"/>
          </w:tcPr>
          <w:p w14:paraId="11D5410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SB.4.002 Disaster Recovery Plan</w:t>
            </w:r>
          </w:p>
        </w:tc>
        <w:tc>
          <w:tcPr>
            <w:tcW w:w="2608" w:type="dxa"/>
          </w:tcPr>
          <w:p w14:paraId="3D2CC29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Noodherstelplan</w:t>
            </w:r>
          </w:p>
        </w:tc>
        <w:tc>
          <w:tcPr>
            <w:tcW w:w="2746" w:type="dxa"/>
          </w:tcPr>
          <w:p w14:paraId="79332B1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14.1 (BC.01) Bedrijfscontinuïteitsplanning</w:t>
            </w:r>
          </w:p>
          <w:p w14:paraId="3B0A2A8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14.5 (BC.05) Crisismanagement</w:t>
            </w:r>
          </w:p>
        </w:tc>
        <w:tc>
          <w:tcPr>
            <w:tcW w:w="1548" w:type="dxa"/>
          </w:tcPr>
          <w:p w14:paraId="100EC7B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Facilitair</w:t>
            </w:r>
          </w:p>
          <w:p w14:paraId="2210EB0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146FA95E" w14:textId="77777777" w:rsidTr="00666325">
        <w:tc>
          <w:tcPr>
            <w:tcW w:w="597" w:type="dxa"/>
          </w:tcPr>
          <w:p w14:paraId="758B4F6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22.</w:t>
            </w:r>
          </w:p>
        </w:tc>
        <w:tc>
          <w:tcPr>
            <w:tcW w:w="2419" w:type="dxa"/>
          </w:tcPr>
          <w:p w14:paraId="7C71250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SB.4.003 Business continuity management</w:t>
            </w:r>
          </w:p>
        </w:tc>
        <w:tc>
          <w:tcPr>
            <w:tcW w:w="2608" w:type="dxa"/>
          </w:tcPr>
          <w:p w14:paraId="1BA7B52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Beheer van bedrijfscontinuïteit</w:t>
            </w:r>
          </w:p>
        </w:tc>
        <w:tc>
          <w:tcPr>
            <w:tcW w:w="2746" w:type="dxa"/>
          </w:tcPr>
          <w:p w14:paraId="0BDD40A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14.2 (BC.02) Testen van Disaster recovery</w:t>
            </w:r>
          </w:p>
          <w:p w14:paraId="42063C4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14.5 (BC.05) Crisismanagement</w:t>
            </w:r>
          </w:p>
        </w:tc>
        <w:tc>
          <w:tcPr>
            <w:tcW w:w="1548" w:type="dxa"/>
          </w:tcPr>
          <w:p w14:paraId="04445CE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Facilitair</w:t>
            </w:r>
          </w:p>
          <w:p w14:paraId="4DAD826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1CE5231B" w14:textId="77777777" w:rsidTr="00666325">
        <w:tc>
          <w:tcPr>
            <w:tcW w:w="597" w:type="dxa"/>
          </w:tcPr>
          <w:p w14:paraId="1AC144B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23.</w:t>
            </w:r>
          </w:p>
        </w:tc>
        <w:tc>
          <w:tcPr>
            <w:tcW w:w="2419" w:type="dxa"/>
          </w:tcPr>
          <w:p w14:paraId="03767BA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SB.4.004 CSIRT</w:t>
            </w:r>
          </w:p>
        </w:tc>
        <w:tc>
          <w:tcPr>
            <w:tcW w:w="2608" w:type="dxa"/>
          </w:tcPr>
          <w:p w14:paraId="73724E3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CSIRT</w:t>
            </w:r>
          </w:p>
        </w:tc>
        <w:tc>
          <w:tcPr>
            <w:tcW w:w="2746" w:type="dxa"/>
          </w:tcPr>
          <w:p w14:paraId="0330908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6.3 (IM.03) Incidenterespons op (cyber) beveiligingsincidenten</w:t>
            </w:r>
          </w:p>
          <w:p w14:paraId="7925ED40"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11.6 (SM.06) Patchmanagement</w:t>
            </w:r>
          </w:p>
        </w:tc>
        <w:tc>
          <w:tcPr>
            <w:tcW w:w="1548" w:type="dxa"/>
          </w:tcPr>
          <w:p w14:paraId="3F0B986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p w14:paraId="3AE28468" w14:textId="77777777" w:rsidR="00666325" w:rsidRPr="00666325" w:rsidRDefault="00666325" w:rsidP="00666325">
            <w:pPr>
              <w:contextualSpacing w:val="0"/>
              <w:rPr>
                <w:rFonts w:eastAsia="Times New Roman" w:cs="Calibri"/>
                <w:sz w:val="20"/>
                <w:lang w:eastAsia="nl-NL"/>
              </w:rPr>
            </w:pPr>
          </w:p>
          <w:p w14:paraId="1EFE4D3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5FD88F2A" w14:textId="77777777" w:rsidTr="00666325">
        <w:tc>
          <w:tcPr>
            <w:tcW w:w="597" w:type="dxa"/>
          </w:tcPr>
          <w:p w14:paraId="1D807A6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24.</w:t>
            </w:r>
          </w:p>
        </w:tc>
        <w:tc>
          <w:tcPr>
            <w:tcW w:w="2419" w:type="dxa"/>
          </w:tcPr>
          <w:p w14:paraId="64E4B91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SB.4.007 Communicating about incidents</w:t>
            </w:r>
          </w:p>
        </w:tc>
        <w:tc>
          <w:tcPr>
            <w:tcW w:w="2608" w:type="dxa"/>
          </w:tcPr>
          <w:p w14:paraId="359D112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Communiceren over incidenten</w:t>
            </w:r>
          </w:p>
        </w:tc>
        <w:tc>
          <w:tcPr>
            <w:tcW w:w="2746" w:type="dxa"/>
          </w:tcPr>
          <w:p w14:paraId="65A8CE2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6.1 (IM.01) Incident management</w:t>
            </w:r>
          </w:p>
          <w:p w14:paraId="17FA8498"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6.3 (IM.03) Incidenterespons op (cyber) beveiligingsincidenten</w:t>
            </w:r>
          </w:p>
        </w:tc>
        <w:tc>
          <w:tcPr>
            <w:tcW w:w="1548" w:type="dxa"/>
          </w:tcPr>
          <w:p w14:paraId="00BD727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p w14:paraId="7EDC2DD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5C850242" w14:textId="77777777" w:rsidTr="00666325">
        <w:tc>
          <w:tcPr>
            <w:tcW w:w="597" w:type="dxa"/>
          </w:tcPr>
          <w:p w14:paraId="11F92AD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25.</w:t>
            </w:r>
          </w:p>
        </w:tc>
        <w:tc>
          <w:tcPr>
            <w:tcW w:w="2419" w:type="dxa"/>
          </w:tcPr>
          <w:p w14:paraId="1EECE86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SB.5.001 Encrypted data storage</w:t>
            </w:r>
          </w:p>
        </w:tc>
        <w:tc>
          <w:tcPr>
            <w:tcW w:w="2608" w:type="dxa"/>
          </w:tcPr>
          <w:p w14:paraId="019D562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Versleutelde gegevensopslag</w:t>
            </w:r>
          </w:p>
        </w:tc>
        <w:tc>
          <w:tcPr>
            <w:tcW w:w="2746" w:type="dxa"/>
          </w:tcPr>
          <w:p w14:paraId="0BFF8EC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11.10 (SM.10) Cryptographic Key Management</w:t>
            </w:r>
          </w:p>
        </w:tc>
        <w:tc>
          <w:tcPr>
            <w:tcW w:w="1548" w:type="dxa"/>
          </w:tcPr>
          <w:p w14:paraId="66155C5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178FE9BE" w14:textId="77777777" w:rsidTr="00666325">
        <w:tc>
          <w:tcPr>
            <w:tcW w:w="597" w:type="dxa"/>
          </w:tcPr>
          <w:p w14:paraId="75B4956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26.</w:t>
            </w:r>
          </w:p>
        </w:tc>
        <w:tc>
          <w:tcPr>
            <w:tcW w:w="2419" w:type="dxa"/>
          </w:tcPr>
          <w:p w14:paraId="2BD4CB84"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SB.5.002 Data Storage Encryption: own managed key</w:t>
            </w:r>
          </w:p>
        </w:tc>
        <w:tc>
          <w:tcPr>
            <w:tcW w:w="2608" w:type="dxa"/>
          </w:tcPr>
          <w:p w14:paraId="1D904FD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Data Storage Encryption: eigen beheerde sleutel</w:t>
            </w:r>
          </w:p>
        </w:tc>
        <w:tc>
          <w:tcPr>
            <w:tcW w:w="2746" w:type="dxa"/>
          </w:tcPr>
          <w:p w14:paraId="44547AA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11.10 (SM.10) Cryptographic Key Management</w:t>
            </w:r>
          </w:p>
        </w:tc>
        <w:tc>
          <w:tcPr>
            <w:tcW w:w="1548" w:type="dxa"/>
          </w:tcPr>
          <w:p w14:paraId="77F1EFF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33D1223E" w14:textId="77777777" w:rsidTr="00666325">
        <w:tc>
          <w:tcPr>
            <w:tcW w:w="597" w:type="dxa"/>
          </w:tcPr>
          <w:p w14:paraId="0706E030"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27.</w:t>
            </w:r>
          </w:p>
        </w:tc>
        <w:tc>
          <w:tcPr>
            <w:tcW w:w="2419" w:type="dxa"/>
          </w:tcPr>
          <w:p w14:paraId="2DD353D3"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eastAsia="nl-NL"/>
              </w:rPr>
              <w:t>SB.5.003 Certificate Management Registration</w:t>
            </w:r>
          </w:p>
        </w:tc>
        <w:tc>
          <w:tcPr>
            <w:tcW w:w="2608" w:type="dxa"/>
          </w:tcPr>
          <w:p w14:paraId="1F439CF2"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val="nl" w:eastAsia="nl-NL"/>
              </w:rPr>
              <w:t>Registratie voor certificaatbeheer</w:t>
            </w:r>
          </w:p>
        </w:tc>
        <w:tc>
          <w:tcPr>
            <w:tcW w:w="2746" w:type="dxa"/>
          </w:tcPr>
          <w:p w14:paraId="7FE8BAD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11.10 (SM.10) Cryptographic Key Management</w:t>
            </w:r>
          </w:p>
        </w:tc>
        <w:tc>
          <w:tcPr>
            <w:tcW w:w="1548" w:type="dxa"/>
          </w:tcPr>
          <w:p w14:paraId="1E54BC8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5AEFED64" w14:textId="77777777" w:rsidTr="00666325">
        <w:tc>
          <w:tcPr>
            <w:tcW w:w="597" w:type="dxa"/>
          </w:tcPr>
          <w:p w14:paraId="791B7BE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28.</w:t>
            </w:r>
          </w:p>
        </w:tc>
        <w:tc>
          <w:tcPr>
            <w:tcW w:w="2419" w:type="dxa"/>
          </w:tcPr>
          <w:p w14:paraId="2E6CABB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SB.6.001 Authorized data distribution</w:t>
            </w:r>
          </w:p>
        </w:tc>
        <w:tc>
          <w:tcPr>
            <w:tcW w:w="2608" w:type="dxa"/>
          </w:tcPr>
          <w:p w14:paraId="1A04C69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Geautoriseerde gegevensdistributie</w:t>
            </w:r>
          </w:p>
        </w:tc>
        <w:tc>
          <w:tcPr>
            <w:tcW w:w="2746" w:type="dxa"/>
          </w:tcPr>
          <w:p w14:paraId="4442E49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11.13 (SM.13) Bescherming van beveiliginstechnologie</w:t>
            </w:r>
          </w:p>
        </w:tc>
        <w:tc>
          <w:tcPr>
            <w:tcW w:w="1548" w:type="dxa"/>
          </w:tcPr>
          <w:p w14:paraId="55488A5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572BA8B0" w14:textId="77777777" w:rsidTr="00666325">
        <w:tc>
          <w:tcPr>
            <w:tcW w:w="597" w:type="dxa"/>
          </w:tcPr>
          <w:p w14:paraId="4173019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29.</w:t>
            </w:r>
          </w:p>
        </w:tc>
        <w:tc>
          <w:tcPr>
            <w:tcW w:w="2419" w:type="dxa"/>
          </w:tcPr>
          <w:p w14:paraId="7411367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SB.6.003 Remote Wipe of Organizational Data</w:t>
            </w:r>
          </w:p>
        </w:tc>
        <w:tc>
          <w:tcPr>
            <w:tcW w:w="2608" w:type="dxa"/>
          </w:tcPr>
          <w:p w14:paraId="5363D5B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Op afstand wissen van organisatiegegevens</w:t>
            </w:r>
          </w:p>
        </w:tc>
        <w:tc>
          <w:tcPr>
            <w:tcW w:w="2746" w:type="dxa"/>
          </w:tcPr>
          <w:p w14:paraId="380B916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11.3 (SM.03) Mobiele apparaten en telewerken</w:t>
            </w:r>
          </w:p>
        </w:tc>
        <w:tc>
          <w:tcPr>
            <w:tcW w:w="1548" w:type="dxa"/>
          </w:tcPr>
          <w:p w14:paraId="2ED5B27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11116F6A" w14:textId="77777777" w:rsidTr="00666325">
        <w:tc>
          <w:tcPr>
            <w:tcW w:w="597" w:type="dxa"/>
          </w:tcPr>
          <w:p w14:paraId="40F349A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30.</w:t>
            </w:r>
          </w:p>
        </w:tc>
        <w:tc>
          <w:tcPr>
            <w:tcW w:w="2419" w:type="dxa"/>
          </w:tcPr>
          <w:p w14:paraId="505D136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SB.6.004 Administrator Data Access</w:t>
            </w:r>
          </w:p>
        </w:tc>
        <w:tc>
          <w:tcPr>
            <w:tcW w:w="2608" w:type="dxa"/>
          </w:tcPr>
          <w:p w14:paraId="1DBD8BA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Toegang tot beheerdersgegevens</w:t>
            </w:r>
          </w:p>
        </w:tc>
        <w:tc>
          <w:tcPr>
            <w:tcW w:w="2746" w:type="dxa"/>
          </w:tcPr>
          <w:p w14:paraId="0BA2E1C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10.3 (ID.03) Super Users</w:t>
            </w:r>
          </w:p>
        </w:tc>
        <w:tc>
          <w:tcPr>
            <w:tcW w:w="1548" w:type="dxa"/>
          </w:tcPr>
          <w:p w14:paraId="02BC68E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4C8F4A73" w14:textId="77777777" w:rsidTr="00666325">
        <w:tc>
          <w:tcPr>
            <w:tcW w:w="597" w:type="dxa"/>
          </w:tcPr>
          <w:p w14:paraId="64EBF4E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31.</w:t>
            </w:r>
          </w:p>
        </w:tc>
        <w:tc>
          <w:tcPr>
            <w:tcW w:w="2419" w:type="dxa"/>
          </w:tcPr>
          <w:p w14:paraId="4B1EFFA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SB.6.006 Data Exfiltration Detection and Prevention</w:t>
            </w:r>
          </w:p>
        </w:tc>
        <w:tc>
          <w:tcPr>
            <w:tcW w:w="2608" w:type="dxa"/>
          </w:tcPr>
          <w:p w14:paraId="7F42C3A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Detectie en preventie van gegevensexfiltratie</w:t>
            </w:r>
          </w:p>
        </w:tc>
        <w:tc>
          <w:tcPr>
            <w:tcW w:w="2746" w:type="dxa"/>
          </w:tcPr>
          <w:p w14:paraId="3F58753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Document: Verantwoord netwerkgebruik</w:t>
            </w:r>
          </w:p>
        </w:tc>
        <w:tc>
          <w:tcPr>
            <w:tcW w:w="1548" w:type="dxa"/>
          </w:tcPr>
          <w:p w14:paraId="3F94DA8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CvB en OR</w:t>
            </w:r>
          </w:p>
        </w:tc>
      </w:tr>
      <w:tr w:rsidR="00666325" w:rsidRPr="00666325" w14:paraId="06D6CC07" w14:textId="77777777" w:rsidTr="00666325">
        <w:tc>
          <w:tcPr>
            <w:tcW w:w="597" w:type="dxa"/>
          </w:tcPr>
          <w:p w14:paraId="3027F17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32.</w:t>
            </w:r>
          </w:p>
        </w:tc>
        <w:tc>
          <w:tcPr>
            <w:tcW w:w="2419" w:type="dxa"/>
          </w:tcPr>
          <w:p w14:paraId="076784A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SB.6.007 Printing Data-Leakage Prevention</w:t>
            </w:r>
          </w:p>
        </w:tc>
        <w:tc>
          <w:tcPr>
            <w:tcW w:w="2608" w:type="dxa"/>
          </w:tcPr>
          <w:p w14:paraId="2959B2E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Preventie van gegevenslekken bij afdrukken</w:t>
            </w:r>
          </w:p>
        </w:tc>
        <w:tc>
          <w:tcPr>
            <w:tcW w:w="2746" w:type="dxa"/>
          </w:tcPr>
          <w:p w14:paraId="7130D10E" w14:textId="77777777" w:rsidR="00666325" w:rsidRPr="00666325" w:rsidRDefault="00666325" w:rsidP="00666325">
            <w:pPr>
              <w:contextualSpacing w:val="0"/>
              <w:rPr>
                <w:rFonts w:eastAsia="Times New Roman" w:cs="Calibri"/>
                <w:sz w:val="20"/>
                <w:lang w:eastAsia="nl-NL"/>
              </w:rPr>
            </w:pPr>
            <w:r w:rsidRPr="00666325">
              <w:rPr>
                <w:rFonts w:eastAsia="Times New Roman" w:cs="Calibri"/>
                <w:color w:val="FF0000"/>
                <w:sz w:val="20"/>
                <w:lang w:eastAsia="nl-NL"/>
              </w:rPr>
              <w:t>Aanvullend beleid</w:t>
            </w:r>
          </w:p>
        </w:tc>
        <w:tc>
          <w:tcPr>
            <w:tcW w:w="1548" w:type="dxa"/>
          </w:tcPr>
          <w:p w14:paraId="78D10C6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1186EE3D" w14:textId="77777777" w:rsidTr="00666325">
        <w:tc>
          <w:tcPr>
            <w:tcW w:w="597" w:type="dxa"/>
          </w:tcPr>
          <w:p w14:paraId="795DE9F4"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33.</w:t>
            </w:r>
          </w:p>
        </w:tc>
        <w:tc>
          <w:tcPr>
            <w:tcW w:w="2419" w:type="dxa"/>
          </w:tcPr>
          <w:p w14:paraId="22E5257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SB.6.008 Organizational Data Deletion</w:t>
            </w:r>
          </w:p>
        </w:tc>
        <w:tc>
          <w:tcPr>
            <w:tcW w:w="2608" w:type="dxa"/>
          </w:tcPr>
          <w:p w14:paraId="4BD9ED7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Verwijdering van organisatorische gegevens</w:t>
            </w:r>
          </w:p>
        </w:tc>
        <w:tc>
          <w:tcPr>
            <w:tcW w:w="2746" w:type="dxa"/>
          </w:tcPr>
          <w:p w14:paraId="0277B56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9.4 (DM.04) Inrichting van opslag en retentie</w:t>
            </w:r>
          </w:p>
        </w:tc>
        <w:tc>
          <w:tcPr>
            <w:tcW w:w="1548" w:type="dxa"/>
          </w:tcPr>
          <w:p w14:paraId="45776C6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07F44E64" w14:textId="77777777" w:rsidTr="00666325">
        <w:tc>
          <w:tcPr>
            <w:tcW w:w="597" w:type="dxa"/>
          </w:tcPr>
          <w:p w14:paraId="006E487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34.</w:t>
            </w:r>
          </w:p>
        </w:tc>
        <w:tc>
          <w:tcPr>
            <w:tcW w:w="2419" w:type="dxa"/>
          </w:tcPr>
          <w:p w14:paraId="21DEE0D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SB.6.010 Data handling procedure</w:t>
            </w:r>
          </w:p>
        </w:tc>
        <w:tc>
          <w:tcPr>
            <w:tcW w:w="2608" w:type="dxa"/>
          </w:tcPr>
          <w:p w14:paraId="7E634E6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 xml:space="preserve">Procedure voor gegevensverwerking </w:t>
            </w:r>
          </w:p>
        </w:tc>
        <w:tc>
          <w:tcPr>
            <w:tcW w:w="2746" w:type="dxa"/>
          </w:tcPr>
          <w:p w14:paraId="42C3854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11.3 (SM.03) Mobiele apparaten en telewerken</w:t>
            </w:r>
          </w:p>
        </w:tc>
        <w:tc>
          <w:tcPr>
            <w:tcW w:w="1548" w:type="dxa"/>
          </w:tcPr>
          <w:p w14:paraId="61DD759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C3E175F" w14:textId="77777777" w:rsidTr="00666325">
        <w:tc>
          <w:tcPr>
            <w:tcW w:w="597" w:type="dxa"/>
          </w:tcPr>
          <w:p w14:paraId="426FF87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35.</w:t>
            </w:r>
          </w:p>
        </w:tc>
        <w:tc>
          <w:tcPr>
            <w:tcW w:w="2419" w:type="dxa"/>
          </w:tcPr>
          <w:p w14:paraId="5C9BD887"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eastAsia="nl-NL"/>
              </w:rPr>
              <w:t>SB.6.012 Retention periods</w:t>
            </w:r>
          </w:p>
        </w:tc>
        <w:tc>
          <w:tcPr>
            <w:tcW w:w="2608" w:type="dxa"/>
          </w:tcPr>
          <w:p w14:paraId="61CE9114"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val="nl" w:eastAsia="nl-NL"/>
              </w:rPr>
              <w:t>Bewaartermijnen</w:t>
            </w:r>
          </w:p>
        </w:tc>
        <w:tc>
          <w:tcPr>
            <w:tcW w:w="2746" w:type="dxa"/>
          </w:tcPr>
          <w:p w14:paraId="4CA0848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9.4 (DM.04) Inrichting van opslag en retentie</w:t>
            </w:r>
          </w:p>
        </w:tc>
        <w:tc>
          <w:tcPr>
            <w:tcW w:w="1548" w:type="dxa"/>
          </w:tcPr>
          <w:p w14:paraId="45092E3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74EA09A6" w14:textId="77777777" w:rsidTr="00666325">
        <w:tc>
          <w:tcPr>
            <w:tcW w:w="597" w:type="dxa"/>
          </w:tcPr>
          <w:p w14:paraId="45135DD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36.</w:t>
            </w:r>
          </w:p>
        </w:tc>
        <w:tc>
          <w:tcPr>
            <w:tcW w:w="2419" w:type="dxa"/>
          </w:tcPr>
          <w:p w14:paraId="1304FCF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SB.7.001 Scripts and Executables</w:t>
            </w:r>
          </w:p>
        </w:tc>
        <w:tc>
          <w:tcPr>
            <w:tcW w:w="2608" w:type="dxa"/>
          </w:tcPr>
          <w:p w14:paraId="416A72F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Scripts en uitvoerbare bestanden</w:t>
            </w:r>
          </w:p>
        </w:tc>
        <w:tc>
          <w:tcPr>
            <w:tcW w:w="2746" w:type="dxa"/>
          </w:tcPr>
          <w:p w14:paraId="2BC94DA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Document: Verantwoord netwerkgebruik</w:t>
            </w:r>
          </w:p>
        </w:tc>
        <w:tc>
          <w:tcPr>
            <w:tcW w:w="1548" w:type="dxa"/>
          </w:tcPr>
          <w:p w14:paraId="64B4533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CvB en OR</w:t>
            </w:r>
          </w:p>
        </w:tc>
      </w:tr>
      <w:tr w:rsidR="00666325" w:rsidRPr="00666325" w14:paraId="17CB843E" w14:textId="77777777" w:rsidTr="00666325">
        <w:tc>
          <w:tcPr>
            <w:tcW w:w="597" w:type="dxa"/>
          </w:tcPr>
          <w:p w14:paraId="518111E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37.</w:t>
            </w:r>
          </w:p>
        </w:tc>
        <w:tc>
          <w:tcPr>
            <w:tcW w:w="2419" w:type="dxa"/>
          </w:tcPr>
          <w:p w14:paraId="5F979FD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SB.7.002 Anti-Malware protection</w:t>
            </w:r>
          </w:p>
        </w:tc>
        <w:tc>
          <w:tcPr>
            <w:tcW w:w="2608" w:type="dxa"/>
          </w:tcPr>
          <w:p w14:paraId="56DC7A7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Anti-malware bescherming</w:t>
            </w:r>
          </w:p>
        </w:tc>
        <w:tc>
          <w:tcPr>
            <w:tcW w:w="2746" w:type="dxa"/>
          </w:tcPr>
          <w:p w14:paraId="6352DBE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11.12 (SM.12) Beheersing van malware-aanvallen</w:t>
            </w:r>
          </w:p>
        </w:tc>
        <w:tc>
          <w:tcPr>
            <w:tcW w:w="1548" w:type="dxa"/>
          </w:tcPr>
          <w:p w14:paraId="7CCB215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FD0A7EE" w14:textId="77777777" w:rsidTr="00666325">
        <w:tc>
          <w:tcPr>
            <w:tcW w:w="597" w:type="dxa"/>
          </w:tcPr>
          <w:p w14:paraId="759CEC7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38.</w:t>
            </w:r>
          </w:p>
        </w:tc>
        <w:tc>
          <w:tcPr>
            <w:tcW w:w="2419" w:type="dxa"/>
          </w:tcPr>
          <w:p w14:paraId="2028053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SB.7.003 Local privileged accounts</w:t>
            </w:r>
          </w:p>
        </w:tc>
        <w:tc>
          <w:tcPr>
            <w:tcW w:w="2608" w:type="dxa"/>
          </w:tcPr>
          <w:p w14:paraId="3A5DF2F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Lokale geprivilegieerde accounts</w:t>
            </w:r>
          </w:p>
        </w:tc>
        <w:tc>
          <w:tcPr>
            <w:tcW w:w="2746" w:type="dxa"/>
          </w:tcPr>
          <w:p w14:paraId="413EC698" w14:textId="77777777" w:rsidR="00666325" w:rsidRPr="00666325" w:rsidRDefault="00666325" w:rsidP="00666325">
            <w:pPr>
              <w:contextualSpacing w:val="0"/>
              <w:rPr>
                <w:rFonts w:eastAsia="Times New Roman" w:cs="Calibri"/>
                <w:sz w:val="20"/>
                <w:lang w:eastAsia="nl-NL"/>
              </w:rPr>
            </w:pPr>
            <w:r w:rsidRPr="00666325">
              <w:rPr>
                <w:rFonts w:eastAsia="Times New Roman" w:cs="Calibri"/>
                <w:color w:val="FF0000"/>
                <w:sz w:val="20"/>
                <w:lang w:eastAsia="nl-NL"/>
              </w:rPr>
              <w:t>Aanvullend beleid</w:t>
            </w:r>
          </w:p>
        </w:tc>
        <w:tc>
          <w:tcPr>
            <w:tcW w:w="1548" w:type="dxa"/>
          </w:tcPr>
          <w:p w14:paraId="20559F65" w14:textId="77777777" w:rsidR="00666325" w:rsidRPr="00666325" w:rsidRDefault="00666325" w:rsidP="00666325">
            <w:pPr>
              <w:contextualSpacing w:val="0"/>
              <w:rPr>
                <w:rFonts w:eastAsia="Times New Roman" w:cs="Calibri"/>
                <w:sz w:val="20"/>
                <w:lang w:eastAsia="nl-NL"/>
              </w:rPr>
            </w:pPr>
          </w:p>
        </w:tc>
      </w:tr>
      <w:tr w:rsidR="00666325" w:rsidRPr="00666325" w14:paraId="41F3CBE0" w14:textId="77777777" w:rsidTr="00666325">
        <w:tc>
          <w:tcPr>
            <w:tcW w:w="597" w:type="dxa"/>
          </w:tcPr>
          <w:p w14:paraId="52C71ED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39.</w:t>
            </w:r>
          </w:p>
        </w:tc>
        <w:tc>
          <w:tcPr>
            <w:tcW w:w="2419" w:type="dxa"/>
          </w:tcPr>
          <w:p w14:paraId="3BF60B1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SB.7.004 Memory protection</w:t>
            </w:r>
          </w:p>
        </w:tc>
        <w:tc>
          <w:tcPr>
            <w:tcW w:w="2608" w:type="dxa"/>
          </w:tcPr>
          <w:p w14:paraId="6914896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Geheugenbescherming</w:t>
            </w:r>
          </w:p>
        </w:tc>
        <w:tc>
          <w:tcPr>
            <w:tcW w:w="2746" w:type="dxa"/>
          </w:tcPr>
          <w:p w14:paraId="53E7637F" w14:textId="77777777" w:rsidR="00666325" w:rsidRPr="00666325" w:rsidRDefault="00666325" w:rsidP="00666325">
            <w:pPr>
              <w:contextualSpacing w:val="0"/>
              <w:rPr>
                <w:rFonts w:eastAsia="Times New Roman" w:cs="Calibri"/>
                <w:sz w:val="20"/>
                <w:lang w:eastAsia="nl-NL"/>
              </w:rPr>
            </w:pPr>
            <w:r w:rsidRPr="00666325">
              <w:rPr>
                <w:rFonts w:eastAsia="Times New Roman" w:cs="Calibri"/>
                <w:color w:val="FF0000"/>
                <w:sz w:val="20"/>
                <w:lang w:eastAsia="nl-NL"/>
              </w:rPr>
              <w:t>Aanvullend beleid</w:t>
            </w:r>
          </w:p>
        </w:tc>
        <w:tc>
          <w:tcPr>
            <w:tcW w:w="1548" w:type="dxa"/>
          </w:tcPr>
          <w:p w14:paraId="6EE0D261" w14:textId="77777777" w:rsidR="00666325" w:rsidRPr="00666325" w:rsidRDefault="00666325" w:rsidP="00666325">
            <w:pPr>
              <w:contextualSpacing w:val="0"/>
              <w:rPr>
                <w:rFonts w:eastAsia="Times New Roman" w:cs="Calibri"/>
                <w:sz w:val="20"/>
                <w:lang w:eastAsia="nl-NL"/>
              </w:rPr>
            </w:pPr>
          </w:p>
        </w:tc>
      </w:tr>
      <w:tr w:rsidR="00666325" w:rsidRPr="00666325" w14:paraId="1FC0347F" w14:textId="77777777" w:rsidTr="00666325">
        <w:tc>
          <w:tcPr>
            <w:tcW w:w="597" w:type="dxa"/>
          </w:tcPr>
          <w:p w14:paraId="40E114E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40.</w:t>
            </w:r>
          </w:p>
        </w:tc>
        <w:tc>
          <w:tcPr>
            <w:tcW w:w="2419" w:type="dxa"/>
          </w:tcPr>
          <w:p w14:paraId="15ECF66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SB.7.005 Screen lock</w:t>
            </w:r>
          </w:p>
        </w:tc>
        <w:tc>
          <w:tcPr>
            <w:tcW w:w="2608" w:type="dxa"/>
          </w:tcPr>
          <w:p w14:paraId="3EB4D41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Schermvergrendeling</w:t>
            </w:r>
          </w:p>
        </w:tc>
        <w:tc>
          <w:tcPr>
            <w:tcW w:w="2746" w:type="dxa"/>
          </w:tcPr>
          <w:p w14:paraId="3A3A0D1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10.1 (ID.01) Toegangsrechten</w:t>
            </w:r>
          </w:p>
        </w:tc>
        <w:tc>
          <w:tcPr>
            <w:tcW w:w="1548" w:type="dxa"/>
          </w:tcPr>
          <w:p w14:paraId="6014F9C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Studentenzaken</w:t>
            </w:r>
          </w:p>
        </w:tc>
      </w:tr>
      <w:tr w:rsidR="00666325" w:rsidRPr="00666325" w14:paraId="41F55C45" w14:textId="77777777" w:rsidTr="00666325">
        <w:tc>
          <w:tcPr>
            <w:tcW w:w="597" w:type="dxa"/>
          </w:tcPr>
          <w:p w14:paraId="2BAAABC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41.</w:t>
            </w:r>
          </w:p>
        </w:tc>
        <w:tc>
          <w:tcPr>
            <w:tcW w:w="2419" w:type="dxa"/>
          </w:tcPr>
          <w:p w14:paraId="4D8BC6C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SB.7.006 Public workspace security</w:t>
            </w:r>
          </w:p>
        </w:tc>
        <w:tc>
          <w:tcPr>
            <w:tcW w:w="2608" w:type="dxa"/>
          </w:tcPr>
          <w:p w14:paraId="0654CA6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Beveiliging van openbare werkruimten</w:t>
            </w:r>
          </w:p>
        </w:tc>
        <w:tc>
          <w:tcPr>
            <w:tcW w:w="2746" w:type="dxa"/>
          </w:tcPr>
          <w:p w14:paraId="7DE6C283" w14:textId="77777777" w:rsidR="00666325" w:rsidRPr="00666325" w:rsidRDefault="00666325" w:rsidP="00666325">
            <w:pPr>
              <w:contextualSpacing w:val="0"/>
              <w:rPr>
                <w:rFonts w:eastAsia="Times New Roman" w:cs="Calibri"/>
                <w:sz w:val="20"/>
                <w:lang w:eastAsia="nl-NL"/>
              </w:rPr>
            </w:pPr>
            <w:r w:rsidRPr="00666325">
              <w:rPr>
                <w:rFonts w:eastAsia="Times New Roman" w:cs="Calibri"/>
                <w:color w:val="FF0000"/>
                <w:sz w:val="20"/>
                <w:lang w:eastAsia="nl-NL"/>
              </w:rPr>
              <w:t>Aanvullend beleid</w:t>
            </w:r>
          </w:p>
        </w:tc>
        <w:tc>
          <w:tcPr>
            <w:tcW w:w="1548" w:type="dxa"/>
          </w:tcPr>
          <w:p w14:paraId="18C112A7" w14:textId="77777777" w:rsidR="00666325" w:rsidRPr="00666325" w:rsidRDefault="00666325" w:rsidP="00666325">
            <w:pPr>
              <w:contextualSpacing w:val="0"/>
              <w:rPr>
                <w:rFonts w:eastAsia="Times New Roman" w:cs="Calibri"/>
                <w:sz w:val="20"/>
                <w:lang w:eastAsia="nl-NL"/>
              </w:rPr>
            </w:pPr>
          </w:p>
        </w:tc>
      </w:tr>
    </w:tbl>
    <w:p w14:paraId="560CAB67" w14:textId="77777777" w:rsidR="00544B06" w:rsidRDefault="00544B06">
      <w:r>
        <w:br w:type="page"/>
      </w:r>
    </w:p>
    <w:tbl>
      <w:tblPr>
        <w:tblStyle w:val="Tabelraster7"/>
        <w:tblW w:w="9918" w:type="dxa"/>
        <w:tblLook w:val="04A0" w:firstRow="1" w:lastRow="0" w:firstColumn="1" w:lastColumn="0" w:noHBand="0" w:noVBand="1"/>
      </w:tblPr>
      <w:tblGrid>
        <w:gridCol w:w="597"/>
        <w:gridCol w:w="2419"/>
        <w:gridCol w:w="2608"/>
        <w:gridCol w:w="2746"/>
        <w:gridCol w:w="1548"/>
      </w:tblGrid>
      <w:tr w:rsidR="00544B06" w:rsidRPr="00666325" w14:paraId="4AA75F56" w14:textId="77777777" w:rsidTr="003B52A0">
        <w:tc>
          <w:tcPr>
            <w:tcW w:w="597" w:type="dxa"/>
          </w:tcPr>
          <w:p w14:paraId="059AC909" w14:textId="120146FA"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lastRenderedPageBreak/>
              <w:t>Nr.</w:t>
            </w:r>
          </w:p>
        </w:tc>
        <w:tc>
          <w:tcPr>
            <w:tcW w:w="2419" w:type="dxa"/>
          </w:tcPr>
          <w:p w14:paraId="1E1F0DA0"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(Engels)</w:t>
            </w:r>
          </w:p>
        </w:tc>
        <w:tc>
          <w:tcPr>
            <w:tcW w:w="2608" w:type="dxa"/>
            <w:tcMar>
              <w:right w:w="0" w:type="dxa"/>
            </w:tcMar>
          </w:tcPr>
          <w:p w14:paraId="285A852C"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(Nederlands)</w:t>
            </w:r>
          </w:p>
        </w:tc>
        <w:tc>
          <w:tcPr>
            <w:tcW w:w="2746" w:type="dxa"/>
          </w:tcPr>
          <w:p w14:paraId="33B3BEDA"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Verwijzing (bijv. NBA)</w:t>
            </w:r>
          </w:p>
        </w:tc>
        <w:tc>
          <w:tcPr>
            <w:tcW w:w="1548" w:type="dxa"/>
          </w:tcPr>
          <w:p w14:paraId="11AD912E"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Accountable</w:t>
            </w:r>
          </w:p>
        </w:tc>
      </w:tr>
      <w:tr w:rsidR="00666325" w:rsidRPr="00666325" w14:paraId="090A2BB1" w14:textId="77777777" w:rsidTr="00666325">
        <w:tc>
          <w:tcPr>
            <w:tcW w:w="597" w:type="dxa"/>
          </w:tcPr>
          <w:p w14:paraId="7CE1A77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42.</w:t>
            </w:r>
          </w:p>
        </w:tc>
        <w:tc>
          <w:tcPr>
            <w:tcW w:w="2419" w:type="dxa"/>
          </w:tcPr>
          <w:p w14:paraId="77E28FB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w w:val="95"/>
                <w:sz w:val="20"/>
                <w:lang w:val="en-AU" w:eastAsia="nl-NL"/>
              </w:rPr>
              <w:t>SB.8.002 Operating procedures for Secure usage of IT service</w:t>
            </w:r>
          </w:p>
        </w:tc>
        <w:tc>
          <w:tcPr>
            <w:tcW w:w="2608" w:type="dxa"/>
          </w:tcPr>
          <w:p w14:paraId="49B059B0"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val="nl" w:eastAsia="nl-NL"/>
              </w:rPr>
              <w:t>Operationele procedures voor veilig gebruik van IT-service</w:t>
            </w:r>
          </w:p>
        </w:tc>
        <w:tc>
          <w:tcPr>
            <w:tcW w:w="2746" w:type="dxa"/>
          </w:tcPr>
          <w:p w14:paraId="0D6D98A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4.5 (HR.05) Kennisdeling</w:t>
            </w:r>
          </w:p>
        </w:tc>
        <w:tc>
          <w:tcPr>
            <w:tcW w:w="1548" w:type="dxa"/>
          </w:tcPr>
          <w:p w14:paraId="4086A8E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790BC8AB" w14:textId="77777777" w:rsidTr="00666325">
        <w:tc>
          <w:tcPr>
            <w:tcW w:w="597" w:type="dxa"/>
          </w:tcPr>
          <w:p w14:paraId="663AD840"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43.</w:t>
            </w:r>
          </w:p>
        </w:tc>
        <w:tc>
          <w:tcPr>
            <w:tcW w:w="2419" w:type="dxa"/>
          </w:tcPr>
          <w:p w14:paraId="7A86FCD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SB.8.004 Identification</w:t>
            </w:r>
          </w:p>
        </w:tc>
        <w:tc>
          <w:tcPr>
            <w:tcW w:w="2608" w:type="dxa"/>
          </w:tcPr>
          <w:p w14:paraId="279FC6E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Identificatie</w:t>
            </w:r>
          </w:p>
        </w:tc>
        <w:tc>
          <w:tcPr>
            <w:tcW w:w="2746" w:type="dxa"/>
          </w:tcPr>
          <w:p w14:paraId="379DBE3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4.1 (HR.)01 Werving, incl. Indiensttreding proces</w:t>
            </w:r>
          </w:p>
        </w:tc>
        <w:tc>
          <w:tcPr>
            <w:tcW w:w="1548" w:type="dxa"/>
          </w:tcPr>
          <w:p w14:paraId="3997365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218F4F7D" w14:textId="77777777" w:rsidTr="00666325">
        <w:tc>
          <w:tcPr>
            <w:tcW w:w="597" w:type="dxa"/>
          </w:tcPr>
          <w:p w14:paraId="541E430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44.</w:t>
            </w:r>
          </w:p>
        </w:tc>
        <w:tc>
          <w:tcPr>
            <w:tcW w:w="2419" w:type="dxa"/>
          </w:tcPr>
          <w:p w14:paraId="27FD530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SB.8.005 Background Check</w:t>
            </w:r>
          </w:p>
        </w:tc>
        <w:tc>
          <w:tcPr>
            <w:tcW w:w="2608" w:type="dxa"/>
          </w:tcPr>
          <w:p w14:paraId="3C663EC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Antecedentenonderzoek</w:t>
            </w:r>
          </w:p>
        </w:tc>
        <w:tc>
          <w:tcPr>
            <w:tcW w:w="2746" w:type="dxa"/>
          </w:tcPr>
          <w:p w14:paraId="39843ED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4.1 (HR.)01 Werving, incl. Indiensttreding proces</w:t>
            </w:r>
          </w:p>
        </w:tc>
        <w:tc>
          <w:tcPr>
            <w:tcW w:w="1548" w:type="dxa"/>
          </w:tcPr>
          <w:p w14:paraId="216B044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1CF6F2D3" w14:textId="77777777" w:rsidTr="00666325">
        <w:tc>
          <w:tcPr>
            <w:tcW w:w="597" w:type="dxa"/>
          </w:tcPr>
          <w:p w14:paraId="11E93D6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45.</w:t>
            </w:r>
          </w:p>
        </w:tc>
        <w:tc>
          <w:tcPr>
            <w:tcW w:w="2419" w:type="dxa"/>
          </w:tcPr>
          <w:p w14:paraId="3BE4C3A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w w:val="95"/>
                <w:sz w:val="20"/>
                <w:lang w:val="en-AU" w:eastAsia="nl-NL"/>
              </w:rPr>
              <w:t>SB.8.006 External visitors to non-public spaces</w:t>
            </w:r>
          </w:p>
        </w:tc>
        <w:tc>
          <w:tcPr>
            <w:tcW w:w="2608" w:type="dxa"/>
          </w:tcPr>
          <w:p w14:paraId="52338CFA"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val="nl" w:eastAsia="nl-NL"/>
              </w:rPr>
              <w:t>Externe bezoekers van niet-openbare ruimtes</w:t>
            </w:r>
          </w:p>
        </w:tc>
        <w:tc>
          <w:tcPr>
            <w:tcW w:w="2746" w:type="dxa"/>
          </w:tcPr>
          <w:p w14:paraId="1EB4377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12.2 (PH.02) Beheer van fysieke toegangsrechten</w:t>
            </w:r>
          </w:p>
        </w:tc>
        <w:tc>
          <w:tcPr>
            <w:tcW w:w="1548" w:type="dxa"/>
          </w:tcPr>
          <w:p w14:paraId="02C00E7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Facilitair</w:t>
            </w:r>
          </w:p>
        </w:tc>
      </w:tr>
      <w:tr w:rsidR="00666325" w:rsidRPr="00666325" w14:paraId="67EDFBE0" w14:textId="77777777" w:rsidTr="00666325">
        <w:tc>
          <w:tcPr>
            <w:tcW w:w="597" w:type="dxa"/>
          </w:tcPr>
          <w:p w14:paraId="48CE401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46.</w:t>
            </w:r>
          </w:p>
        </w:tc>
        <w:tc>
          <w:tcPr>
            <w:tcW w:w="2419" w:type="dxa"/>
          </w:tcPr>
          <w:p w14:paraId="2B7DFFC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SB.8.007 Staged warning model</w:t>
            </w:r>
          </w:p>
        </w:tc>
        <w:tc>
          <w:tcPr>
            <w:tcW w:w="2608" w:type="dxa"/>
          </w:tcPr>
          <w:p w14:paraId="1BCB844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Geënsceneerd waarschuwingsmodel</w:t>
            </w:r>
          </w:p>
        </w:tc>
        <w:tc>
          <w:tcPr>
            <w:tcW w:w="2746" w:type="dxa"/>
          </w:tcPr>
          <w:p w14:paraId="699EC76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6.3 (IM.03) Incidentrespons op (cyber) beveiligingsincidenten</w:t>
            </w:r>
            <w:r w:rsidRPr="00666325">
              <w:rPr>
                <w:rFonts w:eastAsia="Times New Roman" w:cs="Calibri"/>
                <w:b/>
                <w:bCs/>
                <w:color w:val="FF0000"/>
                <w:sz w:val="20"/>
                <w:lang w:val="en-AU" w:eastAsia="nl-NL"/>
              </w:rPr>
              <w:t xml:space="preserve">  niveau 4</w:t>
            </w:r>
          </w:p>
        </w:tc>
        <w:tc>
          <w:tcPr>
            <w:tcW w:w="1548" w:type="dxa"/>
          </w:tcPr>
          <w:p w14:paraId="0B55717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FA923B7" w14:textId="77777777" w:rsidTr="00666325">
        <w:tc>
          <w:tcPr>
            <w:tcW w:w="597" w:type="dxa"/>
          </w:tcPr>
          <w:p w14:paraId="2FE4BBE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47.</w:t>
            </w:r>
          </w:p>
        </w:tc>
        <w:tc>
          <w:tcPr>
            <w:tcW w:w="2419" w:type="dxa"/>
          </w:tcPr>
          <w:p w14:paraId="750A877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SB.8.008 Non-Disclosure Agreements</w:t>
            </w:r>
          </w:p>
        </w:tc>
        <w:tc>
          <w:tcPr>
            <w:tcW w:w="2608" w:type="dxa"/>
          </w:tcPr>
          <w:p w14:paraId="2FFB5FD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Geheimhoudingsovereenkomsten</w:t>
            </w:r>
          </w:p>
        </w:tc>
        <w:tc>
          <w:tcPr>
            <w:tcW w:w="2746" w:type="dxa"/>
          </w:tcPr>
          <w:p w14:paraId="599931F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NDA document</w:t>
            </w:r>
          </w:p>
        </w:tc>
        <w:tc>
          <w:tcPr>
            <w:tcW w:w="1548" w:type="dxa"/>
          </w:tcPr>
          <w:p w14:paraId="651FCA8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136818DF" w14:textId="77777777" w:rsidTr="00666325">
        <w:tc>
          <w:tcPr>
            <w:tcW w:w="597" w:type="dxa"/>
          </w:tcPr>
          <w:p w14:paraId="66CBDD5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48.</w:t>
            </w:r>
          </w:p>
        </w:tc>
        <w:tc>
          <w:tcPr>
            <w:tcW w:w="2419" w:type="dxa"/>
          </w:tcPr>
          <w:p w14:paraId="35F69BA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SB.8.009 Team capacity monitoring</w:t>
            </w:r>
          </w:p>
        </w:tc>
        <w:tc>
          <w:tcPr>
            <w:tcW w:w="2608" w:type="dxa"/>
          </w:tcPr>
          <w:p w14:paraId="50BF5CF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Bewaking van de teamcapaciteit</w:t>
            </w:r>
          </w:p>
        </w:tc>
        <w:tc>
          <w:tcPr>
            <w:tcW w:w="2746" w:type="dxa"/>
          </w:tcPr>
          <w:p w14:paraId="585D779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1.3 (GO.03) Planning / Roadmap</w:t>
            </w:r>
          </w:p>
        </w:tc>
        <w:tc>
          <w:tcPr>
            <w:tcW w:w="1548" w:type="dxa"/>
          </w:tcPr>
          <w:p w14:paraId="14C2E21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CvB</w:t>
            </w:r>
          </w:p>
        </w:tc>
      </w:tr>
      <w:tr w:rsidR="00666325" w:rsidRPr="00666325" w14:paraId="286103BB" w14:textId="77777777" w:rsidTr="00666325">
        <w:tc>
          <w:tcPr>
            <w:tcW w:w="597" w:type="dxa"/>
          </w:tcPr>
          <w:p w14:paraId="1B8EE34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49.</w:t>
            </w:r>
          </w:p>
        </w:tc>
        <w:tc>
          <w:tcPr>
            <w:tcW w:w="2419" w:type="dxa"/>
          </w:tcPr>
          <w:p w14:paraId="53B2D4F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SB.8.010 Secure behavior</w:t>
            </w:r>
          </w:p>
        </w:tc>
        <w:tc>
          <w:tcPr>
            <w:tcW w:w="2608" w:type="dxa"/>
            <w:shd w:val="clear" w:color="auto" w:fill="auto"/>
          </w:tcPr>
          <w:p w14:paraId="0EA0F953" w14:textId="77777777" w:rsidR="00666325" w:rsidRPr="00666325" w:rsidRDefault="00666325" w:rsidP="00666325">
            <w:pPr>
              <w:shd w:val="clear" w:color="auto" w:fill="FDFDFD"/>
              <w:contextualSpacing w:val="0"/>
              <w:rPr>
                <w:rFonts w:eastAsia="Times New Roman" w:cs="Calibri"/>
                <w:sz w:val="20"/>
                <w:lang w:eastAsia="nl-NL"/>
              </w:rPr>
            </w:pPr>
            <w:r w:rsidRPr="00666325">
              <w:rPr>
                <w:rFonts w:eastAsia="Times New Roman" w:cs="Calibri"/>
                <w:sz w:val="20"/>
                <w:lang w:eastAsia="nl-NL"/>
              </w:rPr>
              <w:t>Veilig gedrag</w:t>
            </w:r>
          </w:p>
        </w:tc>
        <w:tc>
          <w:tcPr>
            <w:tcW w:w="2746" w:type="dxa"/>
          </w:tcPr>
          <w:p w14:paraId="5089A6B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4.6 (HR.06) Veiligheidsbewustzijn</w:t>
            </w:r>
          </w:p>
        </w:tc>
        <w:tc>
          <w:tcPr>
            <w:tcW w:w="1548" w:type="dxa"/>
          </w:tcPr>
          <w:p w14:paraId="4BCD91D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 HRM</w:t>
            </w:r>
          </w:p>
        </w:tc>
      </w:tr>
      <w:tr w:rsidR="00666325" w:rsidRPr="00666325" w14:paraId="6A029CAA" w14:textId="77777777" w:rsidTr="00666325">
        <w:tc>
          <w:tcPr>
            <w:tcW w:w="597" w:type="dxa"/>
          </w:tcPr>
          <w:p w14:paraId="2CD8E4D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50.</w:t>
            </w:r>
          </w:p>
        </w:tc>
        <w:tc>
          <w:tcPr>
            <w:tcW w:w="2419" w:type="dxa"/>
          </w:tcPr>
          <w:p w14:paraId="17D0DA83"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SB.9.001 Authentication through organizational identity</w:t>
            </w:r>
          </w:p>
        </w:tc>
        <w:tc>
          <w:tcPr>
            <w:tcW w:w="2608" w:type="dxa"/>
            <w:shd w:val="clear" w:color="auto" w:fill="auto"/>
          </w:tcPr>
          <w:p w14:paraId="425BA07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Verificatie via organisatie-identiteit</w:t>
            </w:r>
          </w:p>
        </w:tc>
        <w:tc>
          <w:tcPr>
            <w:tcW w:w="2746" w:type="dxa"/>
          </w:tcPr>
          <w:p w14:paraId="5027DD0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10.1 (ID.01) Toegangsrechten</w:t>
            </w:r>
          </w:p>
          <w:p w14:paraId="24565F2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10.2 (ID.02) Administratie van toegangsrechten</w:t>
            </w:r>
          </w:p>
        </w:tc>
        <w:tc>
          <w:tcPr>
            <w:tcW w:w="1548" w:type="dxa"/>
          </w:tcPr>
          <w:p w14:paraId="208D5BA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HRM</w:t>
            </w:r>
          </w:p>
        </w:tc>
      </w:tr>
      <w:tr w:rsidR="00666325" w:rsidRPr="00666325" w14:paraId="1F8EFA2A" w14:textId="77777777" w:rsidTr="00666325">
        <w:tc>
          <w:tcPr>
            <w:tcW w:w="597" w:type="dxa"/>
          </w:tcPr>
          <w:p w14:paraId="01411508"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51.</w:t>
            </w:r>
          </w:p>
        </w:tc>
        <w:tc>
          <w:tcPr>
            <w:tcW w:w="2419" w:type="dxa"/>
          </w:tcPr>
          <w:p w14:paraId="38D07D4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SB.9.002 Account lock-out</w:t>
            </w:r>
          </w:p>
        </w:tc>
        <w:tc>
          <w:tcPr>
            <w:tcW w:w="2608" w:type="dxa"/>
            <w:shd w:val="clear" w:color="auto" w:fill="auto"/>
          </w:tcPr>
          <w:p w14:paraId="31627DB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Account lock-out</w:t>
            </w:r>
          </w:p>
        </w:tc>
        <w:tc>
          <w:tcPr>
            <w:tcW w:w="2746" w:type="dxa"/>
          </w:tcPr>
          <w:p w14:paraId="2A7E670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10.1 (ID.01) Toegangsrechten</w:t>
            </w:r>
          </w:p>
        </w:tc>
        <w:tc>
          <w:tcPr>
            <w:tcW w:w="1548" w:type="dxa"/>
          </w:tcPr>
          <w:p w14:paraId="4E43F15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39248750" w14:textId="77777777" w:rsidTr="00666325">
        <w:tc>
          <w:tcPr>
            <w:tcW w:w="597" w:type="dxa"/>
          </w:tcPr>
          <w:p w14:paraId="4B1FE96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52.</w:t>
            </w:r>
          </w:p>
        </w:tc>
        <w:tc>
          <w:tcPr>
            <w:tcW w:w="2419" w:type="dxa"/>
          </w:tcPr>
          <w:p w14:paraId="2249436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SB.9.003 Defining user management</w:t>
            </w:r>
          </w:p>
        </w:tc>
        <w:tc>
          <w:tcPr>
            <w:tcW w:w="2608" w:type="dxa"/>
            <w:shd w:val="clear" w:color="auto" w:fill="auto"/>
          </w:tcPr>
          <w:p w14:paraId="6FAC528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shd w:val="clear" w:color="auto" w:fill="FFFFFF"/>
                <w:lang w:eastAsia="nl-NL"/>
              </w:rPr>
              <w:t>Gebruikersbeheer definiëren</w:t>
            </w:r>
          </w:p>
          <w:p w14:paraId="40E641FC" w14:textId="77777777" w:rsidR="00666325" w:rsidRPr="00666325" w:rsidRDefault="00666325" w:rsidP="00666325">
            <w:pPr>
              <w:contextualSpacing w:val="0"/>
              <w:rPr>
                <w:rFonts w:eastAsia="Times New Roman" w:cs="Calibri"/>
                <w:sz w:val="20"/>
                <w:lang w:eastAsia="nl-NL"/>
              </w:rPr>
            </w:pPr>
          </w:p>
        </w:tc>
        <w:tc>
          <w:tcPr>
            <w:tcW w:w="2746" w:type="dxa"/>
          </w:tcPr>
          <w:p w14:paraId="5C7E24A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6E511F2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1345F63A" w14:textId="77777777" w:rsidTr="00666325">
        <w:tc>
          <w:tcPr>
            <w:tcW w:w="597" w:type="dxa"/>
          </w:tcPr>
          <w:p w14:paraId="4967DCC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53.</w:t>
            </w:r>
          </w:p>
        </w:tc>
        <w:tc>
          <w:tcPr>
            <w:tcW w:w="2419" w:type="dxa"/>
          </w:tcPr>
          <w:p w14:paraId="308EB56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SB.9.004 Review of Permissions</w:t>
            </w:r>
          </w:p>
        </w:tc>
        <w:tc>
          <w:tcPr>
            <w:tcW w:w="2608" w:type="dxa"/>
          </w:tcPr>
          <w:p w14:paraId="6DD155A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Controle van machtigingen</w:t>
            </w:r>
          </w:p>
        </w:tc>
        <w:tc>
          <w:tcPr>
            <w:tcW w:w="2746" w:type="dxa"/>
          </w:tcPr>
          <w:p w14:paraId="12D0CF5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10.5 (ID.05) Periodieke beoordeling van toegangsrechten</w:t>
            </w:r>
          </w:p>
        </w:tc>
        <w:tc>
          <w:tcPr>
            <w:tcW w:w="1548" w:type="dxa"/>
          </w:tcPr>
          <w:p w14:paraId="6FAE783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4A932546" w14:textId="77777777" w:rsidTr="00666325">
        <w:tc>
          <w:tcPr>
            <w:tcW w:w="597" w:type="dxa"/>
          </w:tcPr>
          <w:p w14:paraId="7E03BD7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54.</w:t>
            </w:r>
          </w:p>
        </w:tc>
        <w:tc>
          <w:tcPr>
            <w:tcW w:w="2419" w:type="dxa"/>
          </w:tcPr>
          <w:p w14:paraId="7087CF5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SB.9.008 Password Complexity</w:t>
            </w:r>
          </w:p>
        </w:tc>
        <w:tc>
          <w:tcPr>
            <w:tcW w:w="2608" w:type="dxa"/>
          </w:tcPr>
          <w:p w14:paraId="2529886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Complexiteit van wachtwoorden</w:t>
            </w:r>
          </w:p>
        </w:tc>
        <w:tc>
          <w:tcPr>
            <w:tcW w:w="2746" w:type="dxa"/>
          </w:tcPr>
          <w:p w14:paraId="4561DA5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5602F58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03DF7AC3" w14:textId="77777777" w:rsidTr="00666325">
        <w:tc>
          <w:tcPr>
            <w:tcW w:w="597" w:type="dxa"/>
          </w:tcPr>
          <w:p w14:paraId="0A09BC5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55.</w:t>
            </w:r>
          </w:p>
        </w:tc>
        <w:tc>
          <w:tcPr>
            <w:tcW w:w="2419" w:type="dxa"/>
          </w:tcPr>
          <w:p w14:paraId="328BC54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SB.9.009 PIN and biometrics</w:t>
            </w:r>
          </w:p>
        </w:tc>
        <w:tc>
          <w:tcPr>
            <w:tcW w:w="2608" w:type="dxa"/>
          </w:tcPr>
          <w:p w14:paraId="371CF76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PIN en biometrie</w:t>
            </w:r>
          </w:p>
        </w:tc>
        <w:tc>
          <w:tcPr>
            <w:tcW w:w="2746" w:type="dxa"/>
          </w:tcPr>
          <w:p w14:paraId="6D4D3CB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471ECE5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209A52E1" w14:textId="77777777" w:rsidTr="00666325">
        <w:tc>
          <w:tcPr>
            <w:tcW w:w="597" w:type="dxa"/>
          </w:tcPr>
          <w:p w14:paraId="2F754E6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56.</w:t>
            </w:r>
          </w:p>
        </w:tc>
        <w:tc>
          <w:tcPr>
            <w:tcW w:w="2419" w:type="dxa"/>
          </w:tcPr>
          <w:p w14:paraId="424E7F4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SB.9.010 Password Visibility</w:t>
            </w:r>
          </w:p>
        </w:tc>
        <w:tc>
          <w:tcPr>
            <w:tcW w:w="2608" w:type="dxa"/>
          </w:tcPr>
          <w:p w14:paraId="587635F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Zichtbaarheid van wachtwoorden</w:t>
            </w:r>
          </w:p>
        </w:tc>
        <w:tc>
          <w:tcPr>
            <w:tcW w:w="2746" w:type="dxa"/>
          </w:tcPr>
          <w:p w14:paraId="4A0116C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26D3A62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5EF421F3" w14:textId="77777777" w:rsidTr="00666325">
        <w:tc>
          <w:tcPr>
            <w:tcW w:w="597" w:type="dxa"/>
          </w:tcPr>
          <w:p w14:paraId="5B6A4F5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57.</w:t>
            </w:r>
          </w:p>
        </w:tc>
        <w:tc>
          <w:tcPr>
            <w:tcW w:w="2419" w:type="dxa"/>
          </w:tcPr>
          <w:p w14:paraId="1873838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SB.9.011 Multi-Factor Authentication</w:t>
            </w:r>
          </w:p>
        </w:tc>
        <w:tc>
          <w:tcPr>
            <w:tcW w:w="2608" w:type="dxa"/>
          </w:tcPr>
          <w:p w14:paraId="22894BE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Meervoudige verificatie</w:t>
            </w:r>
          </w:p>
        </w:tc>
        <w:tc>
          <w:tcPr>
            <w:tcW w:w="2746" w:type="dxa"/>
          </w:tcPr>
          <w:p w14:paraId="0831947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10.1 (ID.01) Toegangsrechten</w:t>
            </w:r>
          </w:p>
          <w:p w14:paraId="71187D6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11.2 (SM.02) Authenticatie-mechanismes</w:t>
            </w:r>
          </w:p>
        </w:tc>
        <w:tc>
          <w:tcPr>
            <w:tcW w:w="1548" w:type="dxa"/>
          </w:tcPr>
          <w:p w14:paraId="538ED34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HRM</w:t>
            </w:r>
          </w:p>
          <w:p w14:paraId="294BE09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IT</w:t>
            </w:r>
            <w:r w:rsidRPr="00666325">
              <w:rPr>
                <w:rFonts w:eastAsia="Times New Roman" w:cs="Calibri"/>
                <w:sz w:val="20"/>
                <w:lang w:eastAsia="nl-NL"/>
              </w:rPr>
              <w:t xml:space="preserve"> </w:t>
            </w:r>
          </w:p>
        </w:tc>
      </w:tr>
      <w:tr w:rsidR="00666325" w:rsidRPr="00666325" w14:paraId="43E3D684" w14:textId="77777777" w:rsidTr="00666325">
        <w:tc>
          <w:tcPr>
            <w:tcW w:w="597" w:type="dxa"/>
          </w:tcPr>
          <w:p w14:paraId="56C7555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58.</w:t>
            </w:r>
          </w:p>
        </w:tc>
        <w:tc>
          <w:tcPr>
            <w:tcW w:w="2419" w:type="dxa"/>
          </w:tcPr>
          <w:p w14:paraId="38220AA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SB.9.012 Session Timeout</w:t>
            </w:r>
          </w:p>
        </w:tc>
        <w:tc>
          <w:tcPr>
            <w:tcW w:w="2608" w:type="dxa"/>
          </w:tcPr>
          <w:p w14:paraId="0CFF81E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Time-out voor sessie</w:t>
            </w:r>
          </w:p>
        </w:tc>
        <w:tc>
          <w:tcPr>
            <w:tcW w:w="2746" w:type="dxa"/>
          </w:tcPr>
          <w:p w14:paraId="412787E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2496AFD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7ADC443D" w14:textId="77777777" w:rsidTr="00666325">
        <w:tc>
          <w:tcPr>
            <w:tcW w:w="597" w:type="dxa"/>
          </w:tcPr>
          <w:p w14:paraId="16A96DE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59.</w:t>
            </w:r>
          </w:p>
        </w:tc>
        <w:tc>
          <w:tcPr>
            <w:tcW w:w="2419" w:type="dxa"/>
          </w:tcPr>
          <w:p w14:paraId="7CE9281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SB.9.013 Digital identities</w:t>
            </w:r>
          </w:p>
        </w:tc>
        <w:tc>
          <w:tcPr>
            <w:tcW w:w="2608" w:type="dxa"/>
          </w:tcPr>
          <w:p w14:paraId="17B465B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Digitale identiteiten</w:t>
            </w:r>
          </w:p>
        </w:tc>
        <w:tc>
          <w:tcPr>
            <w:tcW w:w="2746" w:type="dxa"/>
          </w:tcPr>
          <w:p w14:paraId="7EAE98C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0B2739A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1ADCA914" w14:textId="77777777" w:rsidTr="00666325">
        <w:tc>
          <w:tcPr>
            <w:tcW w:w="597" w:type="dxa"/>
          </w:tcPr>
          <w:p w14:paraId="6F32C04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60.</w:t>
            </w:r>
          </w:p>
        </w:tc>
        <w:tc>
          <w:tcPr>
            <w:tcW w:w="2419" w:type="dxa"/>
          </w:tcPr>
          <w:p w14:paraId="0908832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SB.9.014 Least Privilege</w:t>
            </w:r>
          </w:p>
        </w:tc>
        <w:tc>
          <w:tcPr>
            <w:tcW w:w="2608" w:type="dxa"/>
          </w:tcPr>
          <w:p w14:paraId="269B0FC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Minste privilege</w:t>
            </w:r>
          </w:p>
        </w:tc>
        <w:tc>
          <w:tcPr>
            <w:tcW w:w="2746" w:type="dxa"/>
          </w:tcPr>
          <w:p w14:paraId="25BA3FF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75355A7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40094F8A" w14:textId="77777777" w:rsidTr="00666325">
        <w:tc>
          <w:tcPr>
            <w:tcW w:w="597" w:type="dxa"/>
          </w:tcPr>
          <w:p w14:paraId="1E4F24E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61.</w:t>
            </w:r>
          </w:p>
        </w:tc>
        <w:tc>
          <w:tcPr>
            <w:tcW w:w="2419" w:type="dxa"/>
          </w:tcPr>
          <w:p w14:paraId="5D488EEF"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eastAsia="nl-NL"/>
              </w:rPr>
              <w:t>SB.9.015 Joiner/Mover/Leaver</w:t>
            </w:r>
          </w:p>
        </w:tc>
        <w:tc>
          <w:tcPr>
            <w:tcW w:w="2608" w:type="dxa"/>
          </w:tcPr>
          <w:p w14:paraId="43A043C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Joiner/Changer/Leaver</w:t>
            </w:r>
          </w:p>
        </w:tc>
        <w:tc>
          <w:tcPr>
            <w:tcW w:w="2746" w:type="dxa"/>
          </w:tcPr>
          <w:p w14:paraId="765645F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4.4 (HR.04) Verandering of beëindiging van functie</w:t>
            </w:r>
          </w:p>
          <w:p w14:paraId="66C833C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10.1 (ID.01) Toegangsrechten</w:t>
            </w:r>
          </w:p>
        </w:tc>
        <w:tc>
          <w:tcPr>
            <w:tcW w:w="1548" w:type="dxa"/>
          </w:tcPr>
          <w:p w14:paraId="29767783"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HRM</w:t>
            </w:r>
          </w:p>
          <w:p w14:paraId="40D3B4DB" w14:textId="77777777" w:rsidR="00666325" w:rsidRPr="00666325" w:rsidRDefault="00666325" w:rsidP="00666325">
            <w:pPr>
              <w:contextualSpacing w:val="0"/>
              <w:rPr>
                <w:rFonts w:eastAsia="Times New Roman" w:cs="Calibri"/>
                <w:sz w:val="20"/>
                <w:lang w:val="en-AU" w:eastAsia="nl-NL"/>
              </w:rPr>
            </w:pPr>
          </w:p>
          <w:p w14:paraId="14CE0E5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13BC75DA" w14:textId="77777777" w:rsidTr="00666325">
        <w:tc>
          <w:tcPr>
            <w:tcW w:w="597" w:type="dxa"/>
          </w:tcPr>
          <w:p w14:paraId="403D277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62.</w:t>
            </w:r>
          </w:p>
        </w:tc>
        <w:tc>
          <w:tcPr>
            <w:tcW w:w="2419" w:type="dxa"/>
          </w:tcPr>
          <w:p w14:paraId="0520D5C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SB.9.016 Authorization Matrix</w:t>
            </w:r>
          </w:p>
        </w:tc>
        <w:tc>
          <w:tcPr>
            <w:tcW w:w="2608" w:type="dxa"/>
          </w:tcPr>
          <w:p w14:paraId="57B523C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Autorisatiematrix</w:t>
            </w:r>
          </w:p>
        </w:tc>
        <w:tc>
          <w:tcPr>
            <w:tcW w:w="2746" w:type="dxa"/>
          </w:tcPr>
          <w:p w14:paraId="5B2B75B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2D50E70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661FADD9" w14:textId="77777777" w:rsidTr="00666325">
        <w:tc>
          <w:tcPr>
            <w:tcW w:w="597" w:type="dxa"/>
          </w:tcPr>
          <w:p w14:paraId="4001F26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63.</w:t>
            </w:r>
          </w:p>
        </w:tc>
        <w:tc>
          <w:tcPr>
            <w:tcW w:w="2419" w:type="dxa"/>
          </w:tcPr>
          <w:p w14:paraId="25BD3AD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SB.10.001 Privilege account monitoring</w:t>
            </w:r>
          </w:p>
        </w:tc>
        <w:tc>
          <w:tcPr>
            <w:tcW w:w="2608" w:type="dxa"/>
          </w:tcPr>
          <w:p w14:paraId="67868F9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Bewaking van privilege-accounts</w:t>
            </w:r>
          </w:p>
        </w:tc>
        <w:tc>
          <w:tcPr>
            <w:tcW w:w="2746" w:type="dxa"/>
          </w:tcPr>
          <w:p w14:paraId="303F4CA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10.3 (ID.03) Super Users</w:t>
            </w:r>
          </w:p>
        </w:tc>
        <w:tc>
          <w:tcPr>
            <w:tcW w:w="1548" w:type="dxa"/>
          </w:tcPr>
          <w:p w14:paraId="076C705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p>
        </w:tc>
      </w:tr>
      <w:tr w:rsidR="00666325" w:rsidRPr="00666325" w14:paraId="03571488" w14:textId="77777777" w:rsidTr="00666325">
        <w:tc>
          <w:tcPr>
            <w:tcW w:w="597" w:type="dxa"/>
          </w:tcPr>
          <w:p w14:paraId="685D46A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64.</w:t>
            </w:r>
          </w:p>
        </w:tc>
        <w:tc>
          <w:tcPr>
            <w:tcW w:w="2419" w:type="dxa"/>
          </w:tcPr>
          <w:p w14:paraId="5D6C794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SB.10.002 Account monitoring</w:t>
            </w:r>
          </w:p>
        </w:tc>
        <w:tc>
          <w:tcPr>
            <w:tcW w:w="2608" w:type="dxa"/>
          </w:tcPr>
          <w:p w14:paraId="2575F90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Account monitoring</w:t>
            </w:r>
          </w:p>
        </w:tc>
        <w:tc>
          <w:tcPr>
            <w:tcW w:w="2746" w:type="dxa"/>
          </w:tcPr>
          <w:p w14:paraId="39E05A8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11.2 (SM.02) Authenticatie-mechanismes</w:t>
            </w:r>
          </w:p>
        </w:tc>
        <w:tc>
          <w:tcPr>
            <w:tcW w:w="1548" w:type="dxa"/>
          </w:tcPr>
          <w:p w14:paraId="6EFD37E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818F08E" w14:textId="77777777" w:rsidTr="00666325">
        <w:tc>
          <w:tcPr>
            <w:tcW w:w="597" w:type="dxa"/>
          </w:tcPr>
          <w:p w14:paraId="3EBB571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65.</w:t>
            </w:r>
          </w:p>
        </w:tc>
        <w:tc>
          <w:tcPr>
            <w:tcW w:w="2419" w:type="dxa"/>
          </w:tcPr>
          <w:p w14:paraId="3408AAE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SB.10.003 Session and Identity monitoring</w:t>
            </w:r>
          </w:p>
        </w:tc>
        <w:tc>
          <w:tcPr>
            <w:tcW w:w="2608" w:type="dxa"/>
          </w:tcPr>
          <w:p w14:paraId="4B9042F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Sessie- en identiteitsbewaking</w:t>
            </w:r>
          </w:p>
        </w:tc>
        <w:tc>
          <w:tcPr>
            <w:tcW w:w="2746" w:type="dxa"/>
          </w:tcPr>
          <w:p w14:paraId="7865032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color w:val="FF0000"/>
                <w:sz w:val="20"/>
                <w:lang w:eastAsia="nl-NL"/>
              </w:rPr>
              <w:t>Aanvullend beleid</w:t>
            </w:r>
          </w:p>
        </w:tc>
        <w:tc>
          <w:tcPr>
            <w:tcW w:w="1548" w:type="dxa"/>
          </w:tcPr>
          <w:p w14:paraId="56369C59" w14:textId="77777777" w:rsidR="00666325" w:rsidRPr="00666325" w:rsidRDefault="00666325" w:rsidP="00666325">
            <w:pPr>
              <w:contextualSpacing w:val="0"/>
              <w:rPr>
                <w:rFonts w:eastAsia="Times New Roman" w:cs="Calibri"/>
                <w:sz w:val="20"/>
                <w:lang w:val="en-AU" w:eastAsia="nl-NL"/>
              </w:rPr>
            </w:pPr>
          </w:p>
        </w:tc>
      </w:tr>
      <w:tr w:rsidR="00666325" w:rsidRPr="00666325" w14:paraId="620F526C" w14:textId="77777777" w:rsidTr="00666325">
        <w:tc>
          <w:tcPr>
            <w:tcW w:w="597" w:type="dxa"/>
          </w:tcPr>
          <w:p w14:paraId="3FD1327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66.</w:t>
            </w:r>
          </w:p>
        </w:tc>
        <w:tc>
          <w:tcPr>
            <w:tcW w:w="2419" w:type="dxa"/>
          </w:tcPr>
          <w:p w14:paraId="578A69A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SB.10.004 Logging events</w:t>
            </w:r>
          </w:p>
        </w:tc>
        <w:tc>
          <w:tcPr>
            <w:tcW w:w="2608" w:type="dxa"/>
          </w:tcPr>
          <w:p w14:paraId="74051F9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Gebeurtenissen vastleggen</w:t>
            </w:r>
          </w:p>
        </w:tc>
        <w:tc>
          <w:tcPr>
            <w:tcW w:w="2746" w:type="dxa"/>
          </w:tcPr>
          <w:p w14:paraId="039A96F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11.4 (SM.04) Logging</w:t>
            </w:r>
          </w:p>
        </w:tc>
        <w:tc>
          <w:tcPr>
            <w:tcW w:w="1548" w:type="dxa"/>
          </w:tcPr>
          <w:p w14:paraId="5C9F305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1A2B6545" w14:textId="77777777" w:rsidTr="00666325">
        <w:tc>
          <w:tcPr>
            <w:tcW w:w="597" w:type="dxa"/>
          </w:tcPr>
          <w:p w14:paraId="00D9F5F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67.</w:t>
            </w:r>
          </w:p>
        </w:tc>
        <w:tc>
          <w:tcPr>
            <w:tcW w:w="2419" w:type="dxa"/>
          </w:tcPr>
          <w:p w14:paraId="44BED54F"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SB.10.005 Monitoring scripts and executables</w:t>
            </w:r>
          </w:p>
        </w:tc>
        <w:tc>
          <w:tcPr>
            <w:tcW w:w="2608" w:type="dxa"/>
          </w:tcPr>
          <w:p w14:paraId="680A0ED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Scripts en uitvoerbare bestanden controleren</w:t>
            </w:r>
          </w:p>
        </w:tc>
        <w:tc>
          <w:tcPr>
            <w:tcW w:w="2746" w:type="dxa"/>
          </w:tcPr>
          <w:p w14:paraId="64E83CE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11.4 (SM.04) Logging</w:t>
            </w:r>
          </w:p>
        </w:tc>
        <w:tc>
          <w:tcPr>
            <w:tcW w:w="1548" w:type="dxa"/>
          </w:tcPr>
          <w:p w14:paraId="3C761C6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1C7D6B04" w14:textId="77777777" w:rsidTr="00666325">
        <w:tc>
          <w:tcPr>
            <w:tcW w:w="597" w:type="dxa"/>
          </w:tcPr>
          <w:p w14:paraId="0DD8CC1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68.</w:t>
            </w:r>
          </w:p>
        </w:tc>
        <w:tc>
          <w:tcPr>
            <w:tcW w:w="2419" w:type="dxa"/>
          </w:tcPr>
          <w:p w14:paraId="511AD896"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w w:val="95"/>
                <w:sz w:val="20"/>
                <w:lang w:val="en-AU" w:eastAsia="nl-NL"/>
              </w:rPr>
              <w:t>SB.10.006 Mutation and Data Access Logs</w:t>
            </w:r>
          </w:p>
        </w:tc>
        <w:tc>
          <w:tcPr>
            <w:tcW w:w="2608" w:type="dxa"/>
          </w:tcPr>
          <w:p w14:paraId="0DF3D5DA" w14:textId="77777777" w:rsidR="00666325" w:rsidRPr="00666325" w:rsidRDefault="00666325" w:rsidP="00666325">
            <w:pPr>
              <w:contextualSpacing w:val="0"/>
              <w:rPr>
                <w:rFonts w:eastAsia="Times New Roman" w:cs="Calibri"/>
                <w:sz w:val="20"/>
                <w:lang w:eastAsia="nl-NL"/>
              </w:rPr>
            </w:pPr>
            <w:r w:rsidRPr="00666325">
              <w:rPr>
                <w:rFonts w:eastAsia="Times New Roman" w:cs="Calibri"/>
                <w:w w:val="95"/>
                <w:sz w:val="20"/>
                <w:lang w:val="nl" w:eastAsia="nl-NL"/>
              </w:rPr>
              <w:t>Logboeken voor mutaties en gegevenstoegang</w:t>
            </w:r>
          </w:p>
        </w:tc>
        <w:tc>
          <w:tcPr>
            <w:tcW w:w="2746" w:type="dxa"/>
          </w:tcPr>
          <w:p w14:paraId="5E5FBA2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11.4 (SM.04) Logging</w:t>
            </w:r>
          </w:p>
        </w:tc>
        <w:tc>
          <w:tcPr>
            <w:tcW w:w="1548" w:type="dxa"/>
          </w:tcPr>
          <w:p w14:paraId="197444B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544B06" w:rsidRPr="00666325" w14:paraId="17F30F0F" w14:textId="77777777" w:rsidTr="003B52A0">
        <w:tc>
          <w:tcPr>
            <w:tcW w:w="597" w:type="dxa"/>
          </w:tcPr>
          <w:p w14:paraId="3F186C4E"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lastRenderedPageBreak/>
              <w:t>Nr.</w:t>
            </w:r>
          </w:p>
        </w:tc>
        <w:tc>
          <w:tcPr>
            <w:tcW w:w="2419" w:type="dxa"/>
          </w:tcPr>
          <w:p w14:paraId="26FFB6AB"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(Engels)</w:t>
            </w:r>
          </w:p>
        </w:tc>
        <w:tc>
          <w:tcPr>
            <w:tcW w:w="2608" w:type="dxa"/>
            <w:tcMar>
              <w:right w:w="0" w:type="dxa"/>
            </w:tcMar>
          </w:tcPr>
          <w:p w14:paraId="3B0F78CA"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(Nederlands)</w:t>
            </w:r>
          </w:p>
        </w:tc>
        <w:tc>
          <w:tcPr>
            <w:tcW w:w="2746" w:type="dxa"/>
          </w:tcPr>
          <w:p w14:paraId="5B99BFD6"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Verwijzing (bijv. NBA)</w:t>
            </w:r>
          </w:p>
        </w:tc>
        <w:tc>
          <w:tcPr>
            <w:tcW w:w="1548" w:type="dxa"/>
          </w:tcPr>
          <w:p w14:paraId="34616882"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Accountable</w:t>
            </w:r>
          </w:p>
        </w:tc>
      </w:tr>
      <w:tr w:rsidR="00666325" w:rsidRPr="00666325" w14:paraId="7DED028E" w14:textId="77777777" w:rsidTr="00666325">
        <w:tc>
          <w:tcPr>
            <w:tcW w:w="597" w:type="dxa"/>
          </w:tcPr>
          <w:p w14:paraId="127F2AF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69.</w:t>
            </w:r>
          </w:p>
        </w:tc>
        <w:tc>
          <w:tcPr>
            <w:tcW w:w="2419" w:type="dxa"/>
          </w:tcPr>
          <w:p w14:paraId="339FBCD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SB.10.007 Access and authentication attempts</w:t>
            </w:r>
          </w:p>
        </w:tc>
        <w:tc>
          <w:tcPr>
            <w:tcW w:w="2608" w:type="dxa"/>
          </w:tcPr>
          <w:p w14:paraId="121B602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Toegangs- en verificatiepogingen</w:t>
            </w:r>
          </w:p>
        </w:tc>
        <w:tc>
          <w:tcPr>
            <w:tcW w:w="2746" w:type="dxa"/>
          </w:tcPr>
          <w:p w14:paraId="3F44F49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11.4 (SM.04) Logging</w:t>
            </w:r>
          </w:p>
        </w:tc>
        <w:tc>
          <w:tcPr>
            <w:tcW w:w="1548" w:type="dxa"/>
          </w:tcPr>
          <w:p w14:paraId="5368FE34"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Hoofd IT</w:t>
            </w:r>
          </w:p>
        </w:tc>
      </w:tr>
      <w:tr w:rsidR="00666325" w:rsidRPr="00666325" w14:paraId="519B95A0" w14:textId="77777777" w:rsidTr="00666325">
        <w:tc>
          <w:tcPr>
            <w:tcW w:w="597" w:type="dxa"/>
          </w:tcPr>
          <w:p w14:paraId="0887F07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70.</w:t>
            </w:r>
          </w:p>
        </w:tc>
        <w:tc>
          <w:tcPr>
            <w:tcW w:w="2419" w:type="dxa"/>
          </w:tcPr>
          <w:p w14:paraId="622171E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SB.10.008 Risk Monitoring</w:t>
            </w:r>
          </w:p>
        </w:tc>
        <w:tc>
          <w:tcPr>
            <w:tcW w:w="2608" w:type="dxa"/>
          </w:tcPr>
          <w:p w14:paraId="381C89B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Risk Monitoring</w:t>
            </w:r>
          </w:p>
        </w:tc>
        <w:tc>
          <w:tcPr>
            <w:tcW w:w="2746" w:type="dxa"/>
          </w:tcPr>
          <w:p w14:paraId="39DCB5B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11.4 (SM.04) Logging</w:t>
            </w:r>
          </w:p>
        </w:tc>
        <w:tc>
          <w:tcPr>
            <w:tcW w:w="1548" w:type="dxa"/>
          </w:tcPr>
          <w:p w14:paraId="6333B45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41AE5342" w14:textId="77777777" w:rsidTr="00666325">
        <w:tc>
          <w:tcPr>
            <w:tcW w:w="597" w:type="dxa"/>
          </w:tcPr>
          <w:p w14:paraId="58C7F14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71.</w:t>
            </w:r>
          </w:p>
        </w:tc>
        <w:tc>
          <w:tcPr>
            <w:tcW w:w="2419" w:type="dxa"/>
          </w:tcPr>
          <w:p w14:paraId="09809FB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 xml:space="preserve">SB.10.009 Password Monitoring </w:t>
            </w:r>
          </w:p>
        </w:tc>
        <w:tc>
          <w:tcPr>
            <w:tcW w:w="2608" w:type="dxa"/>
          </w:tcPr>
          <w:p w14:paraId="267CF92B"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Wachtwoordcontrole</w:t>
            </w:r>
          </w:p>
        </w:tc>
        <w:tc>
          <w:tcPr>
            <w:tcW w:w="2746" w:type="dxa"/>
          </w:tcPr>
          <w:p w14:paraId="236FA27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11.4 (SM.04) Logging</w:t>
            </w:r>
          </w:p>
        </w:tc>
        <w:tc>
          <w:tcPr>
            <w:tcW w:w="1548" w:type="dxa"/>
          </w:tcPr>
          <w:p w14:paraId="0CB97446"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Hoofd IT</w:t>
            </w:r>
          </w:p>
        </w:tc>
      </w:tr>
      <w:tr w:rsidR="00666325" w:rsidRPr="00666325" w14:paraId="23954F81" w14:textId="77777777" w:rsidTr="00666325">
        <w:tc>
          <w:tcPr>
            <w:tcW w:w="597" w:type="dxa"/>
          </w:tcPr>
          <w:p w14:paraId="57BCDCC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72.</w:t>
            </w:r>
          </w:p>
        </w:tc>
        <w:tc>
          <w:tcPr>
            <w:tcW w:w="2419" w:type="dxa"/>
          </w:tcPr>
          <w:p w14:paraId="036F657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SB.10.011 Network Intrusion Detection and Prevention Systems</w:t>
            </w:r>
          </w:p>
        </w:tc>
        <w:tc>
          <w:tcPr>
            <w:tcW w:w="2608" w:type="dxa"/>
          </w:tcPr>
          <w:p w14:paraId="63933FAB"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Netwerkinbraakdetectie- en preventiesystemen</w:t>
            </w:r>
          </w:p>
        </w:tc>
        <w:tc>
          <w:tcPr>
            <w:tcW w:w="2746" w:type="dxa"/>
          </w:tcPr>
          <w:p w14:paraId="22FE75F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11.4 (SM.04) Logging</w:t>
            </w:r>
          </w:p>
        </w:tc>
        <w:tc>
          <w:tcPr>
            <w:tcW w:w="1548" w:type="dxa"/>
          </w:tcPr>
          <w:p w14:paraId="17012FD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Hoofd IT</w:t>
            </w:r>
          </w:p>
        </w:tc>
      </w:tr>
      <w:tr w:rsidR="00666325" w:rsidRPr="00666325" w14:paraId="732C9B9B" w14:textId="77777777" w:rsidTr="00666325">
        <w:tc>
          <w:tcPr>
            <w:tcW w:w="597" w:type="dxa"/>
          </w:tcPr>
          <w:p w14:paraId="3217E02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73.</w:t>
            </w:r>
          </w:p>
        </w:tc>
        <w:tc>
          <w:tcPr>
            <w:tcW w:w="2419" w:type="dxa"/>
          </w:tcPr>
          <w:p w14:paraId="58FE2AC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SB.11.001 Network Access Control</w:t>
            </w:r>
          </w:p>
        </w:tc>
        <w:tc>
          <w:tcPr>
            <w:tcW w:w="2608" w:type="dxa"/>
          </w:tcPr>
          <w:p w14:paraId="29BBF78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Netwerktoegangsbeheer</w:t>
            </w:r>
          </w:p>
        </w:tc>
        <w:tc>
          <w:tcPr>
            <w:tcW w:w="2746" w:type="dxa"/>
          </w:tcPr>
          <w:p w14:paraId="2B12AFD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11.4 (SM.04) Logging</w:t>
            </w:r>
          </w:p>
        </w:tc>
        <w:tc>
          <w:tcPr>
            <w:tcW w:w="1548" w:type="dxa"/>
          </w:tcPr>
          <w:p w14:paraId="06F153E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D8EA2B5" w14:textId="77777777" w:rsidTr="00666325">
        <w:tc>
          <w:tcPr>
            <w:tcW w:w="597" w:type="dxa"/>
          </w:tcPr>
          <w:p w14:paraId="115A8F9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74.</w:t>
            </w:r>
          </w:p>
        </w:tc>
        <w:tc>
          <w:tcPr>
            <w:tcW w:w="2419" w:type="dxa"/>
          </w:tcPr>
          <w:p w14:paraId="5A430DC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SB.11.002 Block malicious sources</w:t>
            </w:r>
          </w:p>
        </w:tc>
        <w:tc>
          <w:tcPr>
            <w:tcW w:w="2608" w:type="dxa"/>
          </w:tcPr>
          <w:p w14:paraId="5974BCD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Blokkeer kwaadaardige bronnen</w:t>
            </w:r>
          </w:p>
        </w:tc>
        <w:tc>
          <w:tcPr>
            <w:tcW w:w="2746" w:type="dxa"/>
          </w:tcPr>
          <w:p w14:paraId="6E7EA39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11.4 (SM.04) Logging</w:t>
            </w:r>
          </w:p>
        </w:tc>
        <w:tc>
          <w:tcPr>
            <w:tcW w:w="1548" w:type="dxa"/>
          </w:tcPr>
          <w:p w14:paraId="0B566C8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425E3722" w14:textId="77777777" w:rsidTr="00666325">
        <w:tc>
          <w:tcPr>
            <w:tcW w:w="597" w:type="dxa"/>
          </w:tcPr>
          <w:p w14:paraId="3404B28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75.</w:t>
            </w:r>
          </w:p>
        </w:tc>
        <w:tc>
          <w:tcPr>
            <w:tcW w:w="2419" w:type="dxa"/>
          </w:tcPr>
          <w:p w14:paraId="334298E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SB.11.003 Networking Hardware</w:t>
            </w:r>
          </w:p>
        </w:tc>
        <w:tc>
          <w:tcPr>
            <w:tcW w:w="2608" w:type="dxa"/>
          </w:tcPr>
          <w:p w14:paraId="1CF17D7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Netwerkhardware</w:t>
            </w:r>
          </w:p>
        </w:tc>
        <w:tc>
          <w:tcPr>
            <w:tcW w:w="2746" w:type="dxa"/>
          </w:tcPr>
          <w:p w14:paraId="7765F42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11.8 (SM.08) Beschikbaarheid en bescherming van infrastructuur</w:t>
            </w:r>
          </w:p>
        </w:tc>
        <w:tc>
          <w:tcPr>
            <w:tcW w:w="1548" w:type="dxa"/>
          </w:tcPr>
          <w:p w14:paraId="1D54341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3ED25BB7" w14:textId="77777777" w:rsidTr="00666325">
        <w:tc>
          <w:tcPr>
            <w:tcW w:w="597" w:type="dxa"/>
          </w:tcPr>
          <w:p w14:paraId="3375EDB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76.</w:t>
            </w:r>
          </w:p>
        </w:tc>
        <w:tc>
          <w:tcPr>
            <w:tcW w:w="2419" w:type="dxa"/>
          </w:tcPr>
          <w:p w14:paraId="4E2D619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w w:val="95"/>
                <w:sz w:val="20"/>
                <w:lang w:val="en-AU" w:eastAsia="nl-NL"/>
              </w:rPr>
              <w:t>SB.11.004 Network Segmentation and zoning</w:t>
            </w:r>
          </w:p>
        </w:tc>
        <w:tc>
          <w:tcPr>
            <w:tcW w:w="2608" w:type="dxa"/>
          </w:tcPr>
          <w:p w14:paraId="3E04DA9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w w:val="95"/>
                <w:sz w:val="20"/>
                <w:lang w:val="nl" w:eastAsia="nl-NL"/>
              </w:rPr>
              <w:t>Netwerksegmentatie en zonering</w:t>
            </w:r>
          </w:p>
        </w:tc>
        <w:tc>
          <w:tcPr>
            <w:tcW w:w="2746" w:type="dxa"/>
          </w:tcPr>
          <w:p w14:paraId="5B4256F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11.8 (SM.08) Beschikbaarheid en bescherming van infrastructuur</w:t>
            </w:r>
          </w:p>
        </w:tc>
        <w:tc>
          <w:tcPr>
            <w:tcW w:w="1548" w:type="dxa"/>
          </w:tcPr>
          <w:p w14:paraId="1B0F8E4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29FB7B70" w14:textId="77777777" w:rsidTr="00666325">
        <w:tc>
          <w:tcPr>
            <w:tcW w:w="597" w:type="dxa"/>
          </w:tcPr>
          <w:p w14:paraId="2715431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77.</w:t>
            </w:r>
          </w:p>
        </w:tc>
        <w:tc>
          <w:tcPr>
            <w:tcW w:w="2419" w:type="dxa"/>
          </w:tcPr>
          <w:p w14:paraId="75BC7BE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SB.11.005 DMZ</w:t>
            </w:r>
          </w:p>
        </w:tc>
        <w:tc>
          <w:tcPr>
            <w:tcW w:w="2608" w:type="dxa"/>
          </w:tcPr>
          <w:p w14:paraId="5AE990D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DMZ</w:t>
            </w:r>
          </w:p>
        </w:tc>
        <w:tc>
          <w:tcPr>
            <w:tcW w:w="2746" w:type="dxa"/>
          </w:tcPr>
          <w:p w14:paraId="4D65D51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11.8 (SM.08) Beschikbaarheid en bescherming van infrastructuur</w:t>
            </w:r>
          </w:p>
        </w:tc>
        <w:tc>
          <w:tcPr>
            <w:tcW w:w="1548" w:type="dxa"/>
          </w:tcPr>
          <w:p w14:paraId="56AC45B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6EFCF9B3" w14:textId="77777777" w:rsidTr="00666325">
        <w:tc>
          <w:tcPr>
            <w:tcW w:w="597" w:type="dxa"/>
          </w:tcPr>
          <w:p w14:paraId="2FBB382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78.</w:t>
            </w:r>
          </w:p>
        </w:tc>
        <w:tc>
          <w:tcPr>
            <w:tcW w:w="2419" w:type="dxa"/>
          </w:tcPr>
          <w:p w14:paraId="3C65058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4"/>
                <w:sz w:val="20"/>
                <w:lang w:eastAsia="nl-NL"/>
              </w:rPr>
              <w:t>SB.11.006 Firewall Rule Management</w:t>
            </w:r>
          </w:p>
        </w:tc>
        <w:tc>
          <w:tcPr>
            <w:tcW w:w="2608" w:type="dxa"/>
          </w:tcPr>
          <w:p w14:paraId="0A9301F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4"/>
                <w:sz w:val="20"/>
                <w:lang w:val="nl" w:eastAsia="nl-NL"/>
              </w:rPr>
              <w:t>Beheer van firewallregels</w:t>
            </w:r>
          </w:p>
        </w:tc>
        <w:tc>
          <w:tcPr>
            <w:tcW w:w="2746" w:type="dxa"/>
          </w:tcPr>
          <w:p w14:paraId="44BE168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11.11 (SM.11) Network Security</w:t>
            </w:r>
          </w:p>
        </w:tc>
        <w:tc>
          <w:tcPr>
            <w:tcW w:w="1548" w:type="dxa"/>
          </w:tcPr>
          <w:p w14:paraId="4B71FCD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313D59C8" w14:textId="77777777" w:rsidTr="00666325">
        <w:tc>
          <w:tcPr>
            <w:tcW w:w="597" w:type="dxa"/>
          </w:tcPr>
          <w:p w14:paraId="7A043A1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79.</w:t>
            </w:r>
          </w:p>
        </w:tc>
        <w:tc>
          <w:tcPr>
            <w:tcW w:w="2419" w:type="dxa"/>
          </w:tcPr>
          <w:p w14:paraId="0F3489B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SB.11.007 DDoS Network Protections</w:t>
            </w:r>
          </w:p>
        </w:tc>
        <w:tc>
          <w:tcPr>
            <w:tcW w:w="2608" w:type="dxa"/>
          </w:tcPr>
          <w:p w14:paraId="6D9364A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DDoS-netwerkbeveiliging</w:t>
            </w:r>
          </w:p>
        </w:tc>
        <w:tc>
          <w:tcPr>
            <w:tcW w:w="2746" w:type="dxa"/>
          </w:tcPr>
          <w:p w14:paraId="4A8A3A1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11.4 (SM.04) Logging</w:t>
            </w:r>
          </w:p>
          <w:p w14:paraId="33E30D9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11.8 (SM.08) Beschikbaarheid en bescherming van infrastructuur</w:t>
            </w:r>
          </w:p>
        </w:tc>
        <w:tc>
          <w:tcPr>
            <w:tcW w:w="1548" w:type="dxa"/>
          </w:tcPr>
          <w:p w14:paraId="288C80F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4E6F5368" w14:textId="77777777" w:rsidTr="00666325">
        <w:tc>
          <w:tcPr>
            <w:tcW w:w="597" w:type="dxa"/>
          </w:tcPr>
          <w:p w14:paraId="19AA086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80.</w:t>
            </w:r>
          </w:p>
        </w:tc>
        <w:tc>
          <w:tcPr>
            <w:tcW w:w="2419" w:type="dxa"/>
          </w:tcPr>
          <w:p w14:paraId="2B111A7B"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SB.12.001 Access to technical areas</w:t>
            </w:r>
          </w:p>
        </w:tc>
        <w:tc>
          <w:tcPr>
            <w:tcW w:w="2608" w:type="dxa"/>
          </w:tcPr>
          <w:p w14:paraId="4A31A9F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Toegang tot technische ruimtes</w:t>
            </w:r>
          </w:p>
        </w:tc>
        <w:tc>
          <w:tcPr>
            <w:tcW w:w="2746" w:type="dxa"/>
          </w:tcPr>
          <w:p w14:paraId="6E5234E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12.1 (PH.01) Fysieke beveili-gingsmaatregelen</w:t>
            </w:r>
          </w:p>
        </w:tc>
        <w:tc>
          <w:tcPr>
            <w:tcW w:w="1548" w:type="dxa"/>
          </w:tcPr>
          <w:p w14:paraId="62C5843F"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tc>
      </w:tr>
      <w:tr w:rsidR="00666325" w:rsidRPr="00666325" w14:paraId="38A8730A" w14:textId="77777777" w:rsidTr="00666325">
        <w:tc>
          <w:tcPr>
            <w:tcW w:w="597" w:type="dxa"/>
          </w:tcPr>
          <w:p w14:paraId="1FDF938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81.</w:t>
            </w:r>
          </w:p>
        </w:tc>
        <w:tc>
          <w:tcPr>
            <w:tcW w:w="2419" w:type="dxa"/>
          </w:tcPr>
          <w:p w14:paraId="5F2C48B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SB.12.002 Emergency Power</w:t>
            </w:r>
          </w:p>
        </w:tc>
        <w:tc>
          <w:tcPr>
            <w:tcW w:w="2608" w:type="dxa"/>
          </w:tcPr>
          <w:p w14:paraId="40EF3D3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Noodstroom</w:t>
            </w:r>
          </w:p>
        </w:tc>
        <w:tc>
          <w:tcPr>
            <w:tcW w:w="2746" w:type="dxa"/>
          </w:tcPr>
          <w:p w14:paraId="350B8C6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11.8 (SM.08) Beschikbaarheid en bescherming van infrastructuur</w:t>
            </w:r>
          </w:p>
        </w:tc>
        <w:tc>
          <w:tcPr>
            <w:tcW w:w="1548" w:type="dxa"/>
          </w:tcPr>
          <w:p w14:paraId="1715C16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6EA12F52" w14:textId="77777777" w:rsidTr="008A73A4">
        <w:tc>
          <w:tcPr>
            <w:tcW w:w="597" w:type="dxa"/>
          </w:tcPr>
          <w:p w14:paraId="3152277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82.</w:t>
            </w:r>
          </w:p>
        </w:tc>
        <w:tc>
          <w:tcPr>
            <w:tcW w:w="2419" w:type="dxa"/>
          </w:tcPr>
          <w:p w14:paraId="37BFE79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SB.13.001 Segmenting authentication domains</w:t>
            </w:r>
          </w:p>
        </w:tc>
        <w:tc>
          <w:tcPr>
            <w:tcW w:w="2608" w:type="dxa"/>
          </w:tcPr>
          <w:p w14:paraId="5824D8B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Verificatiedomeinen segmenteren</w:t>
            </w:r>
          </w:p>
        </w:tc>
        <w:tc>
          <w:tcPr>
            <w:tcW w:w="2746" w:type="dxa"/>
            <w:shd w:val="clear" w:color="auto" w:fill="auto"/>
          </w:tcPr>
          <w:p w14:paraId="189A88D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11.11 (SM.11) Network Security</w:t>
            </w:r>
          </w:p>
        </w:tc>
        <w:tc>
          <w:tcPr>
            <w:tcW w:w="1548" w:type="dxa"/>
          </w:tcPr>
          <w:p w14:paraId="7B7FBDC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6C64B47D" w14:textId="77777777" w:rsidTr="00666325">
        <w:tc>
          <w:tcPr>
            <w:tcW w:w="597" w:type="dxa"/>
          </w:tcPr>
          <w:p w14:paraId="38A1528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83.</w:t>
            </w:r>
          </w:p>
        </w:tc>
        <w:tc>
          <w:tcPr>
            <w:tcW w:w="2419" w:type="dxa"/>
          </w:tcPr>
          <w:p w14:paraId="1FE6E02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SB.13.002 Access to admin interfaces</w:t>
            </w:r>
          </w:p>
        </w:tc>
        <w:tc>
          <w:tcPr>
            <w:tcW w:w="2608" w:type="dxa"/>
          </w:tcPr>
          <w:p w14:paraId="77310D7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Toegang tot beheerinterfaces</w:t>
            </w:r>
          </w:p>
        </w:tc>
        <w:tc>
          <w:tcPr>
            <w:tcW w:w="2746" w:type="dxa"/>
          </w:tcPr>
          <w:p w14:paraId="2FDF0A1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color w:val="FF0000"/>
                <w:sz w:val="20"/>
                <w:lang w:eastAsia="nl-NL"/>
              </w:rPr>
              <w:t>Aanvullend beleid</w:t>
            </w:r>
          </w:p>
        </w:tc>
        <w:tc>
          <w:tcPr>
            <w:tcW w:w="1548" w:type="dxa"/>
          </w:tcPr>
          <w:p w14:paraId="1A91F4B0" w14:textId="77777777" w:rsidR="00666325" w:rsidRPr="00666325" w:rsidRDefault="00666325" w:rsidP="00666325">
            <w:pPr>
              <w:contextualSpacing w:val="0"/>
              <w:rPr>
                <w:rFonts w:eastAsia="Times New Roman" w:cs="Calibri"/>
                <w:sz w:val="20"/>
                <w:lang w:val="en-AU" w:eastAsia="nl-NL"/>
              </w:rPr>
            </w:pPr>
          </w:p>
        </w:tc>
      </w:tr>
      <w:tr w:rsidR="00666325" w:rsidRPr="00666325" w14:paraId="2284F326" w14:textId="77777777" w:rsidTr="00666325">
        <w:tc>
          <w:tcPr>
            <w:tcW w:w="597" w:type="dxa"/>
          </w:tcPr>
          <w:p w14:paraId="6E6D143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84.</w:t>
            </w:r>
          </w:p>
        </w:tc>
        <w:tc>
          <w:tcPr>
            <w:tcW w:w="2419" w:type="dxa"/>
          </w:tcPr>
          <w:p w14:paraId="69ADAF7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SB.13.003 Privileged Access</w:t>
            </w:r>
          </w:p>
        </w:tc>
        <w:tc>
          <w:tcPr>
            <w:tcW w:w="2608" w:type="dxa"/>
          </w:tcPr>
          <w:p w14:paraId="473048B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Geprivilegieerde toegang</w:t>
            </w:r>
          </w:p>
        </w:tc>
        <w:tc>
          <w:tcPr>
            <w:tcW w:w="2746" w:type="dxa"/>
          </w:tcPr>
          <w:p w14:paraId="22622C9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10.3 (ID.03) Super Users</w:t>
            </w:r>
          </w:p>
        </w:tc>
        <w:tc>
          <w:tcPr>
            <w:tcW w:w="1548" w:type="dxa"/>
          </w:tcPr>
          <w:p w14:paraId="2B5622E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6D4A194C" w14:textId="77777777" w:rsidTr="00666325">
        <w:tc>
          <w:tcPr>
            <w:tcW w:w="597" w:type="dxa"/>
          </w:tcPr>
          <w:p w14:paraId="6170B16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85.</w:t>
            </w:r>
          </w:p>
        </w:tc>
        <w:tc>
          <w:tcPr>
            <w:tcW w:w="2419" w:type="dxa"/>
          </w:tcPr>
          <w:p w14:paraId="3B518F0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SB.13.004 Service Accounts</w:t>
            </w:r>
          </w:p>
        </w:tc>
        <w:tc>
          <w:tcPr>
            <w:tcW w:w="2608" w:type="dxa"/>
          </w:tcPr>
          <w:p w14:paraId="42E919F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Service-accounts</w:t>
            </w:r>
          </w:p>
        </w:tc>
        <w:tc>
          <w:tcPr>
            <w:tcW w:w="2746" w:type="dxa"/>
          </w:tcPr>
          <w:p w14:paraId="039626CC" w14:textId="77777777" w:rsidR="00666325" w:rsidRPr="00666325" w:rsidRDefault="00666325" w:rsidP="00666325">
            <w:pPr>
              <w:contextualSpacing w:val="0"/>
              <w:rPr>
                <w:rFonts w:eastAsia="Times New Roman" w:cs="Calibri"/>
                <w:sz w:val="20"/>
                <w:lang w:eastAsia="nl-NL"/>
              </w:rPr>
            </w:pPr>
            <w:r w:rsidRPr="00666325">
              <w:rPr>
                <w:rFonts w:eastAsia="Times New Roman" w:cs="Calibri"/>
                <w:color w:val="FF0000"/>
                <w:sz w:val="20"/>
                <w:lang w:eastAsia="nl-NL"/>
              </w:rPr>
              <w:t>Aanvullend beleid</w:t>
            </w:r>
          </w:p>
        </w:tc>
        <w:tc>
          <w:tcPr>
            <w:tcW w:w="1548" w:type="dxa"/>
          </w:tcPr>
          <w:p w14:paraId="325B2292" w14:textId="77777777" w:rsidR="00666325" w:rsidRPr="00666325" w:rsidRDefault="00666325" w:rsidP="00666325">
            <w:pPr>
              <w:contextualSpacing w:val="0"/>
              <w:rPr>
                <w:rFonts w:eastAsia="Times New Roman" w:cs="Calibri"/>
                <w:sz w:val="20"/>
                <w:lang w:eastAsia="nl-NL"/>
              </w:rPr>
            </w:pPr>
          </w:p>
        </w:tc>
      </w:tr>
      <w:tr w:rsidR="00666325" w:rsidRPr="00666325" w14:paraId="125402B4" w14:textId="77777777" w:rsidTr="00666325">
        <w:tc>
          <w:tcPr>
            <w:tcW w:w="597" w:type="dxa"/>
          </w:tcPr>
          <w:p w14:paraId="4EB965C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86.</w:t>
            </w:r>
          </w:p>
        </w:tc>
        <w:tc>
          <w:tcPr>
            <w:tcW w:w="2419" w:type="dxa"/>
          </w:tcPr>
          <w:p w14:paraId="3982762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SB.13.005 Separate Accounts for Privileged Access</w:t>
            </w:r>
          </w:p>
        </w:tc>
        <w:tc>
          <w:tcPr>
            <w:tcW w:w="2608" w:type="dxa"/>
          </w:tcPr>
          <w:p w14:paraId="5CFBC7D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Afzonderlijke accounts voor geprivilegieerde toegang</w:t>
            </w:r>
          </w:p>
        </w:tc>
        <w:tc>
          <w:tcPr>
            <w:tcW w:w="2746" w:type="dxa"/>
          </w:tcPr>
          <w:p w14:paraId="422DEE0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771240F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391726BE" w14:textId="77777777" w:rsidTr="00666325">
        <w:tc>
          <w:tcPr>
            <w:tcW w:w="597" w:type="dxa"/>
          </w:tcPr>
          <w:p w14:paraId="3BF8704F"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87.</w:t>
            </w:r>
          </w:p>
        </w:tc>
        <w:tc>
          <w:tcPr>
            <w:tcW w:w="2419" w:type="dxa"/>
          </w:tcPr>
          <w:p w14:paraId="44F95406"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SB.13.006 Session Management for Privileged Access</w:t>
            </w:r>
          </w:p>
        </w:tc>
        <w:tc>
          <w:tcPr>
            <w:tcW w:w="2608" w:type="dxa"/>
          </w:tcPr>
          <w:p w14:paraId="2C19556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Sessiebeheer voor geprivilegieerde toegang</w:t>
            </w:r>
          </w:p>
        </w:tc>
        <w:tc>
          <w:tcPr>
            <w:tcW w:w="2746" w:type="dxa"/>
          </w:tcPr>
          <w:p w14:paraId="62EE277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10.1 (ID.01) Toegangsrechten</w:t>
            </w:r>
          </w:p>
        </w:tc>
        <w:tc>
          <w:tcPr>
            <w:tcW w:w="1548" w:type="dxa"/>
          </w:tcPr>
          <w:p w14:paraId="656D9C6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42FFD16A" w14:textId="77777777" w:rsidTr="00666325">
        <w:tc>
          <w:tcPr>
            <w:tcW w:w="597" w:type="dxa"/>
          </w:tcPr>
          <w:p w14:paraId="48360763"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88.</w:t>
            </w:r>
          </w:p>
        </w:tc>
        <w:tc>
          <w:tcPr>
            <w:tcW w:w="2419" w:type="dxa"/>
          </w:tcPr>
          <w:p w14:paraId="5BC63BE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SB.13.007 Break Glass Procedure</w:t>
            </w:r>
          </w:p>
        </w:tc>
        <w:tc>
          <w:tcPr>
            <w:tcW w:w="2608" w:type="dxa"/>
          </w:tcPr>
          <w:p w14:paraId="5EF5E09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Noodprocedure</w:t>
            </w:r>
          </w:p>
        </w:tc>
        <w:tc>
          <w:tcPr>
            <w:tcW w:w="2746" w:type="dxa"/>
          </w:tcPr>
          <w:p w14:paraId="19B502F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10.4 (ID.04) Noodtoegang (enveloppocedure/breek-het-glasprocedure)</w:t>
            </w:r>
          </w:p>
        </w:tc>
        <w:tc>
          <w:tcPr>
            <w:tcW w:w="1548" w:type="dxa"/>
          </w:tcPr>
          <w:p w14:paraId="504004A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HRM</w:t>
            </w:r>
          </w:p>
        </w:tc>
      </w:tr>
      <w:tr w:rsidR="00666325" w:rsidRPr="00666325" w14:paraId="23152A6C" w14:textId="77777777" w:rsidTr="00666325">
        <w:tc>
          <w:tcPr>
            <w:tcW w:w="597" w:type="dxa"/>
          </w:tcPr>
          <w:p w14:paraId="6B11994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89.</w:t>
            </w:r>
          </w:p>
        </w:tc>
        <w:tc>
          <w:tcPr>
            <w:tcW w:w="2419" w:type="dxa"/>
          </w:tcPr>
          <w:p w14:paraId="1D3368AF"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SB.13.008 MFA for Privileged Access</w:t>
            </w:r>
          </w:p>
        </w:tc>
        <w:tc>
          <w:tcPr>
            <w:tcW w:w="2608" w:type="dxa"/>
          </w:tcPr>
          <w:p w14:paraId="5843B426"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MFA voor geprivilegieerde toegang</w:t>
            </w:r>
          </w:p>
        </w:tc>
        <w:tc>
          <w:tcPr>
            <w:tcW w:w="2746" w:type="dxa"/>
          </w:tcPr>
          <w:p w14:paraId="386306F2"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10.1 (ID.01) Toegangsrechten</w:t>
            </w:r>
          </w:p>
        </w:tc>
        <w:tc>
          <w:tcPr>
            <w:tcW w:w="1548" w:type="dxa"/>
          </w:tcPr>
          <w:p w14:paraId="4A0E566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494D3E77" w14:textId="77777777" w:rsidTr="00666325">
        <w:tc>
          <w:tcPr>
            <w:tcW w:w="597" w:type="dxa"/>
          </w:tcPr>
          <w:p w14:paraId="7E0940E1"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90.</w:t>
            </w:r>
          </w:p>
        </w:tc>
        <w:tc>
          <w:tcPr>
            <w:tcW w:w="2419" w:type="dxa"/>
          </w:tcPr>
          <w:p w14:paraId="440AFB2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5"/>
                <w:sz w:val="20"/>
                <w:lang w:eastAsia="nl-NL"/>
              </w:rPr>
              <w:t>SB.14.001 DTAP</w:t>
            </w:r>
          </w:p>
        </w:tc>
        <w:tc>
          <w:tcPr>
            <w:tcW w:w="2608" w:type="dxa"/>
          </w:tcPr>
          <w:p w14:paraId="745244C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OTAP</w:t>
            </w:r>
          </w:p>
        </w:tc>
        <w:tc>
          <w:tcPr>
            <w:tcW w:w="2746" w:type="dxa"/>
          </w:tcPr>
          <w:p w14:paraId="1326AF2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7.6 (CH.06) Promotie naar productie</w:t>
            </w:r>
          </w:p>
        </w:tc>
        <w:tc>
          <w:tcPr>
            <w:tcW w:w="1548" w:type="dxa"/>
          </w:tcPr>
          <w:p w14:paraId="4E19A7F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bl>
    <w:p w14:paraId="176B92AC" w14:textId="77777777" w:rsidR="00544B06" w:rsidRDefault="00544B06">
      <w:r>
        <w:br w:type="page"/>
      </w:r>
    </w:p>
    <w:tbl>
      <w:tblPr>
        <w:tblStyle w:val="Tabelraster7"/>
        <w:tblW w:w="9918" w:type="dxa"/>
        <w:tblLook w:val="04A0" w:firstRow="1" w:lastRow="0" w:firstColumn="1" w:lastColumn="0" w:noHBand="0" w:noVBand="1"/>
      </w:tblPr>
      <w:tblGrid>
        <w:gridCol w:w="597"/>
        <w:gridCol w:w="2419"/>
        <w:gridCol w:w="2608"/>
        <w:gridCol w:w="2746"/>
        <w:gridCol w:w="1548"/>
      </w:tblGrid>
      <w:tr w:rsidR="00544B06" w:rsidRPr="00666325" w14:paraId="254BBD8D" w14:textId="77777777" w:rsidTr="003B52A0">
        <w:tc>
          <w:tcPr>
            <w:tcW w:w="597" w:type="dxa"/>
          </w:tcPr>
          <w:p w14:paraId="6A6AB160"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lastRenderedPageBreak/>
              <w:t>Nr.</w:t>
            </w:r>
          </w:p>
        </w:tc>
        <w:tc>
          <w:tcPr>
            <w:tcW w:w="2419" w:type="dxa"/>
          </w:tcPr>
          <w:p w14:paraId="1A23AFC8"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(Engels)</w:t>
            </w:r>
          </w:p>
        </w:tc>
        <w:tc>
          <w:tcPr>
            <w:tcW w:w="2608" w:type="dxa"/>
            <w:tcMar>
              <w:right w:w="0" w:type="dxa"/>
            </w:tcMar>
          </w:tcPr>
          <w:p w14:paraId="661B4174"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(Nederlands)</w:t>
            </w:r>
          </w:p>
        </w:tc>
        <w:tc>
          <w:tcPr>
            <w:tcW w:w="2746" w:type="dxa"/>
          </w:tcPr>
          <w:p w14:paraId="3EAAE904"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Verwijzing (bijv. NBA)</w:t>
            </w:r>
          </w:p>
        </w:tc>
        <w:tc>
          <w:tcPr>
            <w:tcW w:w="1548" w:type="dxa"/>
          </w:tcPr>
          <w:p w14:paraId="3DBA0B2E"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Accountable</w:t>
            </w:r>
          </w:p>
        </w:tc>
      </w:tr>
      <w:tr w:rsidR="00666325" w:rsidRPr="00666325" w14:paraId="3B580EA0" w14:textId="77777777" w:rsidTr="00666325">
        <w:tc>
          <w:tcPr>
            <w:tcW w:w="597" w:type="dxa"/>
          </w:tcPr>
          <w:p w14:paraId="33623A9E" w14:textId="62955F08"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91.</w:t>
            </w:r>
          </w:p>
        </w:tc>
        <w:tc>
          <w:tcPr>
            <w:tcW w:w="2419" w:type="dxa"/>
          </w:tcPr>
          <w:p w14:paraId="5A6F7BA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SB.14.002 Testing Data</w:t>
            </w:r>
          </w:p>
        </w:tc>
        <w:tc>
          <w:tcPr>
            <w:tcW w:w="2608" w:type="dxa"/>
          </w:tcPr>
          <w:p w14:paraId="01E71DE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Testgegevens</w:t>
            </w:r>
          </w:p>
        </w:tc>
        <w:tc>
          <w:tcPr>
            <w:tcW w:w="2746" w:type="dxa"/>
          </w:tcPr>
          <w:p w14:paraId="1A7383F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7.4 (CH.04) Testomgeving</w:t>
            </w:r>
          </w:p>
          <w:p w14:paraId="5C9A21B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7.5 (CH.05) Testen van aanpassingen</w:t>
            </w:r>
          </w:p>
        </w:tc>
        <w:tc>
          <w:tcPr>
            <w:tcW w:w="1548" w:type="dxa"/>
          </w:tcPr>
          <w:p w14:paraId="200BBCC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p w14:paraId="7D54DAB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9B8B29B" w14:textId="77777777" w:rsidTr="00666325">
        <w:tc>
          <w:tcPr>
            <w:tcW w:w="597" w:type="dxa"/>
          </w:tcPr>
          <w:p w14:paraId="3C35F01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92.</w:t>
            </w:r>
          </w:p>
        </w:tc>
        <w:tc>
          <w:tcPr>
            <w:tcW w:w="2419" w:type="dxa"/>
          </w:tcPr>
          <w:p w14:paraId="7C492FC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SB.14.003 Rollback Procedure</w:t>
            </w:r>
          </w:p>
        </w:tc>
        <w:tc>
          <w:tcPr>
            <w:tcW w:w="2608" w:type="dxa"/>
          </w:tcPr>
          <w:p w14:paraId="1EBB85D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Terugdraaiprocedure</w:t>
            </w:r>
          </w:p>
        </w:tc>
        <w:tc>
          <w:tcPr>
            <w:tcW w:w="2746" w:type="dxa"/>
          </w:tcPr>
          <w:p w14:paraId="1B0A762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7.4 (CH.04) Testomgeving</w:t>
            </w:r>
          </w:p>
          <w:p w14:paraId="7B628E7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7.5 (CH.05) Testen van aanpassingen</w:t>
            </w:r>
          </w:p>
        </w:tc>
        <w:tc>
          <w:tcPr>
            <w:tcW w:w="1548" w:type="dxa"/>
          </w:tcPr>
          <w:p w14:paraId="0F00CAE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p w14:paraId="2C746E5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461676AA" w14:textId="77777777" w:rsidTr="00666325">
        <w:tc>
          <w:tcPr>
            <w:tcW w:w="597" w:type="dxa"/>
          </w:tcPr>
          <w:p w14:paraId="0DA898F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93.</w:t>
            </w:r>
          </w:p>
        </w:tc>
        <w:tc>
          <w:tcPr>
            <w:tcW w:w="2419" w:type="dxa"/>
          </w:tcPr>
          <w:p w14:paraId="1801C9A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SB.14.004 Configuration Files</w:t>
            </w:r>
          </w:p>
        </w:tc>
        <w:tc>
          <w:tcPr>
            <w:tcW w:w="2608" w:type="dxa"/>
          </w:tcPr>
          <w:p w14:paraId="17A0BCF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Configuratiebestanden</w:t>
            </w:r>
          </w:p>
        </w:tc>
        <w:tc>
          <w:tcPr>
            <w:tcW w:w="2746" w:type="dxa"/>
          </w:tcPr>
          <w:p w14:paraId="0C7D3DC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7.4 (CH.04) Testomgeving</w:t>
            </w:r>
          </w:p>
          <w:p w14:paraId="3BB78EB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7.5 (CH.05) Testen van aanpassingen</w:t>
            </w:r>
          </w:p>
        </w:tc>
        <w:tc>
          <w:tcPr>
            <w:tcW w:w="1548" w:type="dxa"/>
          </w:tcPr>
          <w:p w14:paraId="0BEA449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p w14:paraId="35562D5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089E7109" w14:textId="77777777" w:rsidTr="00666325">
        <w:tc>
          <w:tcPr>
            <w:tcW w:w="597" w:type="dxa"/>
          </w:tcPr>
          <w:p w14:paraId="66D32E9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94.</w:t>
            </w:r>
          </w:p>
        </w:tc>
        <w:tc>
          <w:tcPr>
            <w:tcW w:w="2419" w:type="dxa"/>
          </w:tcPr>
          <w:p w14:paraId="4EAF916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pacing w:val="6"/>
                <w:sz w:val="20"/>
                <w:lang w:val="en-AU" w:eastAsia="nl-NL"/>
              </w:rPr>
              <w:t>SB.14.005 Input and Output Filtering</w:t>
            </w:r>
          </w:p>
        </w:tc>
        <w:tc>
          <w:tcPr>
            <w:tcW w:w="2608" w:type="dxa"/>
          </w:tcPr>
          <w:p w14:paraId="406AE760"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pacing w:val="6"/>
                <w:sz w:val="20"/>
                <w:lang w:val="nl" w:eastAsia="nl-NL"/>
              </w:rPr>
              <w:t>Invoer- en uitvoerfiltering</w:t>
            </w:r>
          </w:p>
        </w:tc>
        <w:tc>
          <w:tcPr>
            <w:tcW w:w="2746" w:type="dxa"/>
          </w:tcPr>
          <w:p w14:paraId="603B337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7.4 (CH.04) Testomgeving</w:t>
            </w:r>
          </w:p>
          <w:p w14:paraId="5A32B4D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7.5 (CH.05) Testen van aanpassingen</w:t>
            </w:r>
          </w:p>
        </w:tc>
        <w:tc>
          <w:tcPr>
            <w:tcW w:w="1548" w:type="dxa"/>
          </w:tcPr>
          <w:p w14:paraId="6650C76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p w14:paraId="43FE2A02"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Hoofd IT</w:t>
            </w:r>
          </w:p>
        </w:tc>
      </w:tr>
      <w:tr w:rsidR="00666325" w:rsidRPr="00666325" w14:paraId="6BBEDFDB" w14:textId="77777777" w:rsidTr="00666325">
        <w:tc>
          <w:tcPr>
            <w:tcW w:w="597" w:type="dxa"/>
          </w:tcPr>
          <w:p w14:paraId="416325B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95.</w:t>
            </w:r>
          </w:p>
        </w:tc>
        <w:tc>
          <w:tcPr>
            <w:tcW w:w="2419" w:type="dxa"/>
          </w:tcPr>
          <w:p w14:paraId="13AB715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SB.14.006 Web Application Security</w:t>
            </w:r>
          </w:p>
        </w:tc>
        <w:tc>
          <w:tcPr>
            <w:tcW w:w="2608" w:type="dxa"/>
          </w:tcPr>
          <w:p w14:paraId="3328F55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Beveiliging van webtoepassingen</w:t>
            </w:r>
          </w:p>
        </w:tc>
        <w:tc>
          <w:tcPr>
            <w:tcW w:w="2746" w:type="dxa"/>
          </w:tcPr>
          <w:p w14:paraId="455914C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8.1 (SD.01) Methodiek voor veilige softwareontwikkeling en -implementatie</w:t>
            </w:r>
          </w:p>
        </w:tc>
        <w:tc>
          <w:tcPr>
            <w:tcW w:w="1548" w:type="dxa"/>
          </w:tcPr>
          <w:p w14:paraId="057EC7A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2E0752F6" w14:textId="77777777" w:rsidTr="00666325">
        <w:tc>
          <w:tcPr>
            <w:tcW w:w="597" w:type="dxa"/>
          </w:tcPr>
          <w:p w14:paraId="149ED49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96.</w:t>
            </w:r>
          </w:p>
        </w:tc>
        <w:tc>
          <w:tcPr>
            <w:tcW w:w="2419" w:type="dxa"/>
          </w:tcPr>
          <w:p w14:paraId="2C4F4ED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SB.14.007 Mobile Applications</w:t>
            </w:r>
          </w:p>
        </w:tc>
        <w:tc>
          <w:tcPr>
            <w:tcW w:w="2608" w:type="dxa"/>
          </w:tcPr>
          <w:p w14:paraId="79909D1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Mobiele applicaties</w:t>
            </w:r>
          </w:p>
        </w:tc>
        <w:tc>
          <w:tcPr>
            <w:tcW w:w="2746" w:type="dxa"/>
          </w:tcPr>
          <w:p w14:paraId="3BE684E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8.1 (SD.01) Methodiek voor veilige softwareontwikkeling en -implementatie</w:t>
            </w:r>
          </w:p>
        </w:tc>
        <w:tc>
          <w:tcPr>
            <w:tcW w:w="1548" w:type="dxa"/>
          </w:tcPr>
          <w:p w14:paraId="1585187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4A54F1BF" w14:textId="77777777" w:rsidTr="00666325">
        <w:tc>
          <w:tcPr>
            <w:tcW w:w="597" w:type="dxa"/>
          </w:tcPr>
          <w:p w14:paraId="6A066BC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97.</w:t>
            </w:r>
          </w:p>
        </w:tc>
        <w:tc>
          <w:tcPr>
            <w:tcW w:w="2419" w:type="dxa"/>
          </w:tcPr>
          <w:p w14:paraId="136184E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SB.14.008 Application (D)DoS Protection</w:t>
            </w:r>
          </w:p>
        </w:tc>
        <w:tc>
          <w:tcPr>
            <w:tcW w:w="2608" w:type="dxa"/>
          </w:tcPr>
          <w:p w14:paraId="1F34D3C3"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nl" w:eastAsia="nl-NL"/>
              </w:rPr>
              <w:t>Toepassing (D)DoS-bescherming</w:t>
            </w:r>
          </w:p>
        </w:tc>
        <w:tc>
          <w:tcPr>
            <w:tcW w:w="2746" w:type="dxa"/>
          </w:tcPr>
          <w:p w14:paraId="48AC8FA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7.4 (CH.04) Testomgeving</w:t>
            </w:r>
          </w:p>
          <w:p w14:paraId="1F0F827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7.5 (CH.05) Testen van aanpassingen</w:t>
            </w:r>
          </w:p>
        </w:tc>
        <w:tc>
          <w:tcPr>
            <w:tcW w:w="1548" w:type="dxa"/>
          </w:tcPr>
          <w:p w14:paraId="310BBFD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p w14:paraId="2ACB0A40"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Hoofd IT</w:t>
            </w:r>
          </w:p>
        </w:tc>
      </w:tr>
      <w:tr w:rsidR="00666325" w:rsidRPr="00666325" w14:paraId="5CF8090E" w14:textId="77777777" w:rsidTr="00666325">
        <w:tc>
          <w:tcPr>
            <w:tcW w:w="597" w:type="dxa"/>
          </w:tcPr>
          <w:p w14:paraId="37CB0494"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98.</w:t>
            </w:r>
          </w:p>
        </w:tc>
        <w:tc>
          <w:tcPr>
            <w:tcW w:w="2419" w:type="dxa"/>
          </w:tcPr>
          <w:p w14:paraId="027B739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SB.14.009 Malware Scanning</w:t>
            </w:r>
          </w:p>
        </w:tc>
        <w:tc>
          <w:tcPr>
            <w:tcW w:w="2608" w:type="dxa"/>
          </w:tcPr>
          <w:p w14:paraId="550E28D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Malware scannen</w:t>
            </w:r>
          </w:p>
        </w:tc>
        <w:tc>
          <w:tcPr>
            <w:tcW w:w="2746" w:type="dxa"/>
          </w:tcPr>
          <w:p w14:paraId="1B40C64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11.12 (SM.12) Beheersing van malware-aanvallen</w:t>
            </w:r>
          </w:p>
        </w:tc>
        <w:tc>
          <w:tcPr>
            <w:tcW w:w="1548" w:type="dxa"/>
          </w:tcPr>
          <w:p w14:paraId="1F034EF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685858BD" w14:textId="77777777" w:rsidTr="00666325">
        <w:tc>
          <w:tcPr>
            <w:tcW w:w="597" w:type="dxa"/>
          </w:tcPr>
          <w:p w14:paraId="32803CF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99.</w:t>
            </w:r>
          </w:p>
        </w:tc>
        <w:tc>
          <w:tcPr>
            <w:tcW w:w="2419" w:type="dxa"/>
          </w:tcPr>
          <w:p w14:paraId="7CAEE81A"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pacing w:val="4"/>
                <w:sz w:val="20"/>
                <w:lang w:val="en-AU" w:eastAsia="nl-NL"/>
              </w:rPr>
              <w:t>SB.14.010 Third Party Apps and Libraries</w:t>
            </w:r>
          </w:p>
        </w:tc>
        <w:tc>
          <w:tcPr>
            <w:tcW w:w="2608" w:type="dxa"/>
          </w:tcPr>
          <w:p w14:paraId="5D0B25A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4"/>
                <w:sz w:val="20"/>
                <w:lang w:val="nl" w:eastAsia="nl-NL"/>
              </w:rPr>
              <w:t xml:space="preserve">Third Party Apps en bibliotheken </w:t>
            </w:r>
          </w:p>
        </w:tc>
        <w:tc>
          <w:tcPr>
            <w:tcW w:w="2746" w:type="dxa"/>
          </w:tcPr>
          <w:p w14:paraId="0FAF78D1" w14:textId="77777777" w:rsidR="00666325" w:rsidRPr="00666325" w:rsidRDefault="00666325" w:rsidP="00666325">
            <w:pPr>
              <w:contextualSpacing w:val="0"/>
              <w:rPr>
                <w:rFonts w:eastAsia="Times New Roman" w:cs="Calibri"/>
                <w:color w:val="FF0000"/>
                <w:sz w:val="20"/>
                <w:lang w:val="en-AU" w:eastAsia="nl-NL"/>
              </w:rPr>
            </w:pPr>
            <w:r w:rsidRPr="00666325">
              <w:rPr>
                <w:rFonts w:eastAsia="Times New Roman" w:cs="Calibri"/>
                <w:color w:val="FF0000"/>
                <w:sz w:val="20"/>
                <w:lang w:val="en-AU" w:eastAsia="nl-NL"/>
              </w:rPr>
              <w:t>15.5 (SC.05) Aanbesteding</w:t>
            </w:r>
          </w:p>
          <w:p w14:paraId="59BAAFE8" w14:textId="77777777" w:rsidR="00666325" w:rsidRPr="00666325" w:rsidRDefault="00666325" w:rsidP="00666325">
            <w:pPr>
              <w:contextualSpacing w:val="0"/>
              <w:rPr>
                <w:rFonts w:eastAsia="Times New Roman" w:cs="Calibri"/>
                <w:sz w:val="20"/>
                <w:lang w:eastAsia="nl-NL"/>
              </w:rPr>
            </w:pPr>
            <w:r w:rsidRPr="00666325">
              <w:rPr>
                <w:rFonts w:eastAsia="Times New Roman" w:cs="Calibri"/>
                <w:b/>
                <w:bCs/>
                <w:i/>
                <w:iCs/>
                <w:color w:val="FF0000"/>
                <w:sz w:val="20"/>
                <w:lang w:val="en-AU" w:eastAsia="nl-NL"/>
              </w:rPr>
              <w:t>NIEUWE CONTROL</w:t>
            </w:r>
          </w:p>
        </w:tc>
        <w:tc>
          <w:tcPr>
            <w:tcW w:w="1548" w:type="dxa"/>
          </w:tcPr>
          <w:p w14:paraId="69FB4A2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Inkoop</w:t>
            </w:r>
          </w:p>
        </w:tc>
      </w:tr>
      <w:tr w:rsidR="00666325" w:rsidRPr="00666325" w14:paraId="73968234" w14:textId="77777777" w:rsidTr="00666325">
        <w:tc>
          <w:tcPr>
            <w:tcW w:w="597" w:type="dxa"/>
          </w:tcPr>
          <w:p w14:paraId="205128B3"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100.</w:t>
            </w:r>
          </w:p>
        </w:tc>
        <w:tc>
          <w:tcPr>
            <w:tcW w:w="2419" w:type="dxa"/>
          </w:tcPr>
          <w:p w14:paraId="64930CE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4"/>
                <w:sz w:val="20"/>
                <w:lang w:eastAsia="nl-NL"/>
              </w:rPr>
              <w:t>SB.16.001 Baseline configuration</w:t>
            </w:r>
          </w:p>
        </w:tc>
        <w:tc>
          <w:tcPr>
            <w:tcW w:w="2608" w:type="dxa"/>
          </w:tcPr>
          <w:p w14:paraId="7863DF3F"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Baseline configuratie</w:t>
            </w:r>
          </w:p>
        </w:tc>
        <w:tc>
          <w:tcPr>
            <w:tcW w:w="2746" w:type="dxa"/>
          </w:tcPr>
          <w:p w14:paraId="2A787D75" w14:textId="77777777" w:rsidR="00666325" w:rsidRPr="00666325" w:rsidRDefault="00666325" w:rsidP="00666325">
            <w:pPr>
              <w:contextualSpacing w:val="0"/>
              <w:rPr>
                <w:rFonts w:eastAsia="Times New Roman" w:cs="Calibri"/>
                <w:color w:val="FF0000"/>
                <w:sz w:val="20"/>
                <w:lang w:val="en-AU" w:eastAsia="nl-NL"/>
              </w:rPr>
            </w:pPr>
            <w:r w:rsidRPr="00666325">
              <w:rPr>
                <w:rFonts w:eastAsia="Times New Roman" w:cs="Calibri"/>
                <w:color w:val="FF0000"/>
                <w:sz w:val="20"/>
                <w:lang w:val="en-AU" w:eastAsia="nl-NL"/>
              </w:rPr>
              <w:t>15.5 (SC.05) Aanbesteding</w:t>
            </w:r>
          </w:p>
          <w:p w14:paraId="6B71B7DC" w14:textId="77777777" w:rsidR="00666325" w:rsidRPr="00666325" w:rsidRDefault="00666325" w:rsidP="00666325">
            <w:pPr>
              <w:contextualSpacing w:val="0"/>
              <w:rPr>
                <w:rFonts w:eastAsia="Times New Roman" w:cs="Calibri"/>
                <w:b/>
                <w:bCs/>
                <w:i/>
                <w:iCs/>
                <w:color w:val="FF0000"/>
                <w:sz w:val="20"/>
                <w:lang w:val="en-AU" w:eastAsia="nl-NL"/>
              </w:rPr>
            </w:pPr>
            <w:r w:rsidRPr="00666325">
              <w:rPr>
                <w:rFonts w:eastAsia="Times New Roman" w:cs="Calibri"/>
                <w:b/>
                <w:bCs/>
                <w:i/>
                <w:iCs/>
                <w:color w:val="FF0000"/>
                <w:sz w:val="20"/>
                <w:lang w:val="en-AU" w:eastAsia="nl-NL"/>
              </w:rPr>
              <w:t>NIEUWE CONTROL</w:t>
            </w:r>
          </w:p>
          <w:p w14:paraId="04A7624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11.11 (SM.11) Network Security</w:t>
            </w:r>
          </w:p>
        </w:tc>
        <w:tc>
          <w:tcPr>
            <w:tcW w:w="1548" w:type="dxa"/>
          </w:tcPr>
          <w:p w14:paraId="2471A18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Inkoop</w:t>
            </w:r>
          </w:p>
          <w:p w14:paraId="364F3F58" w14:textId="77777777" w:rsidR="00666325" w:rsidRPr="00666325" w:rsidRDefault="00666325" w:rsidP="00666325">
            <w:pPr>
              <w:contextualSpacing w:val="0"/>
              <w:rPr>
                <w:rFonts w:eastAsia="Times New Roman" w:cs="Calibri"/>
                <w:sz w:val="20"/>
                <w:lang w:eastAsia="nl-NL"/>
              </w:rPr>
            </w:pPr>
          </w:p>
          <w:p w14:paraId="193DD16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r w:rsidR="00666325" w:rsidRPr="00666325" w14:paraId="501C691A" w14:textId="77777777" w:rsidTr="00666325">
        <w:tc>
          <w:tcPr>
            <w:tcW w:w="597" w:type="dxa"/>
          </w:tcPr>
          <w:p w14:paraId="700DEA6A"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101.</w:t>
            </w:r>
          </w:p>
        </w:tc>
        <w:tc>
          <w:tcPr>
            <w:tcW w:w="2419" w:type="dxa"/>
          </w:tcPr>
          <w:p w14:paraId="60E6E98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SB.16.002 Hardening Validation</w:t>
            </w:r>
          </w:p>
        </w:tc>
        <w:tc>
          <w:tcPr>
            <w:tcW w:w="2608" w:type="dxa"/>
          </w:tcPr>
          <w:p w14:paraId="1598E39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Hardening validatie</w:t>
            </w:r>
          </w:p>
        </w:tc>
        <w:tc>
          <w:tcPr>
            <w:tcW w:w="2746" w:type="dxa"/>
          </w:tcPr>
          <w:p w14:paraId="255FD6A6" w14:textId="77777777" w:rsidR="00666325" w:rsidRPr="00666325" w:rsidRDefault="00666325" w:rsidP="00666325">
            <w:pPr>
              <w:contextualSpacing w:val="0"/>
              <w:rPr>
                <w:rFonts w:eastAsia="Times New Roman" w:cs="Calibri"/>
                <w:sz w:val="20"/>
                <w:lang w:eastAsia="nl-NL"/>
              </w:rPr>
            </w:pPr>
            <w:r w:rsidRPr="00666325">
              <w:rPr>
                <w:rFonts w:eastAsia="Times New Roman" w:cs="Calibri"/>
                <w:color w:val="FF0000"/>
                <w:sz w:val="20"/>
                <w:lang w:eastAsia="nl-NL"/>
              </w:rPr>
              <w:t>Aanvullend beleid</w:t>
            </w:r>
          </w:p>
        </w:tc>
        <w:tc>
          <w:tcPr>
            <w:tcW w:w="1548" w:type="dxa"/>
          </w:tcPr>
          <w:p w14:paraId="68BA5A05" w14:textId="77777777" w:rsidR="00666325" w:rsidRPr="00666325" w:rsidRDefault="00666325" w:rsidP="00666325">
            <w:pPr>
              <w:contextualSpacing w:val="0"/>
              <w:rPr>
                <w:rFonts w:eastAsia="Times New Roman" w:cs="Calibri"/>
                <w:sz w:val="20"/>
                <w:lang w:eastAsia="nl-NL"/>
              </w:rPr>
            </w:pPr>
          </w:p>
        </w:tc>
      </w:tr>
      <w:tr w:rsidR="00666325" w:rsidRPr="00666325" w14:paraId="23CA88C3" w14:textId="77777777" w:rsidTr="00666325">
        <w:tc>
          <w:tcPr>
            <w:tcW w:w="597" w:type="dxa"/>
          </w:tcPr>
          <w:p w14:paraId="6CF8EAE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102.</w:t>
            </w:r>
          </w:p>
        </w:tc>
        <w:tc>
          <w:tcPr>
            <w:tcW w:w="2419" w:type="dxa"/>
          </w:tcPr>
          <w:p w14:paraId="24578AD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4"/>
                <w:sz w:val="20"/>
                <w:lang w:eastAsia="nl-NL"/>
              </w:rPr>
              <w:t>SB.16.003 Unintended Information Disclosure</w:t>
            </w:r>
          </w:p>
        </w:tc>
        <w:tc>
          <w:tcPr>
            <w:tcW w:w="2608" w:type="dxa"/>
          </w:tcPr>
          <w:p w14:paraId="4D7515B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4"/>
                <w:sz w:val="20"/>
                <w:lang w:val="nl" w:eastAsia="nl-NL"/>
              </w:rPr>
              <w:t>Onbedoelde openbaarmaking van informatie</w:t>
            </w:r>
          </w:p>
        </w:tc>
        <w:tc>
          <w:tcPr>
            <w:tcW w:w="2746" w:type="dxa"/>
          </w:tcPr>
          <w:p w14:paraId="1FCF0A9D"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Document: Verantwoord netwerkgebruik</w:t>
            </w:r>
          </w:p>
        </w:tc>
        <w:tc>
          <w:tcPr>
            <w:tcW w:w="1548" w:type="dxa"/>
          </w:tcPr>
          <w:p w14:paraId="64D6E98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CvB en OR</w:t>
            </w:r>
          </w:p>
        </w:tc>
      </w:tr>
      <w:tr w:rsidR="00666325" w:rsidRPr="00666325" w14:paraId="2EC4453D" w14:textId="77777777" w:rsidTr="00666325">
        <w:tc>
          <w:tcPr>
            <w:tcW w:w="597" w:type="dxa"/>
          </w:tcPr>
          <w:p w14:paraId="2BED5FB5"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103.</w:t>
            </w:r>
          </w:p>
        </w:tc>
        <w:tc>
          <w:tcPr>
            <w:tcW w:w="2419" w:type="dxa"/>
          </w:tcPr>
          <w:p w14:paraId="4C7D657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SB.16.004 Default Passwords changed</w:t>
            </w:r>
          </w:p>
        </w:tc>
        <w:tc>
          <w:tcPr>
            <w:tcW w:w="2608" w:type="dxa"/>
          </w:tcPr>
          <w:p w14:paraId="01A96CD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Standaardwachtwoorden gewijzigd</w:t>
            </w:r>
          </w:p>
        </w:tc>
        <w:tc>
          <w:tcPr>
            <w:tcW w:w="2746" w:type="dxa"/>
          </w:tcPr>
          <w:p w14:paraId="5BC1C80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10.1 (ID.01) Toegangsrechten</w:t>
            </w:r>
          </w:p>
        </w:tc>
        <w:tc>
          <w:tcPr>
            <w:tcW w:w="1548" w:type="dxa"/>
          </w:tcPr>
          <w:p w14:paraId="34229BEB"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HRM</w:t>
            </w:r>
            <w:r w:rsidRPr="00666325">
              <w:rPr>
                <w:rFonts w:eastAsia="Times New Roman" w:cs="Calibri"/>
                <w:sz w:val="20"/>
                <w:lang w:eastAsia="nl-NL"/>
              </w:rPr>
              <w:t xml:space="preserve"> </w:t>
            </w:r>
          </w:p>
        </w:tc>
      </w:tr>
      <w:tr w:rsidR="00666325" w:rsidRPr="00666325" w14:paraId="3A0C15EA" w14:textId="77777777" w:rsidTr="00666325">
        <w:tc>
          <w:tcPr>
            <w:tcW w:w="597" w:type="dxa"/>
          </w:tcPr>
          <w:p w14:paraId="3AA0F7D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104.</w:t>
            </w:r>
          </w:p>
        </w:tc>
        <w:tc>
          <w:tcPr>
            <w:tcW w:w="2419" w:type="dxa"/>
          </w:tcPr>
          <w:p w14:paraId="4C510CA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5"/>
                <w:sz w:val="20"/>
                <w:lang w:eastAsia="nl-NL"/>
              </w:rPr>
              <w:t>SB.16.005 Service Hardening</w:t>
            </w:r>
          </w:p>
        </w:tc>
        <w:tc>
          <w:tcPr>
            <w:tcW w:w="2608" w:type="dxa"/>
          </w:tcPr>
          <w:p w14:paraId="5C5E83A8"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Service Hardening</w:t>
            </w:r>
          </w:p>
        </w:tc>
        <w:tc>
          <w:tcPr>
            <w:tcW w:w="2746" w:type="dxa"/>
          </w:tcPr>
          <w:p w14:paraId="30EDB7F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15.2 (SC.02) Service Level Management</w:t>
            </w:r>
          </w:p>
        </w:tc>
        <w:tc>
          <w:tcPr>
            <w:tcW w:w="1548" w:type="dxa"/>
          </w:tcPr>
          <w:p w14:paraId="2AB698A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Inkoop</w:t>
            </w:r>
          </w:p>
        </w:tc>
      </w:tr>
      <w:tr w:rsidR="00666325" w:rsidRPr="00666325" w14:paraId="35CAF305" w14:textId="77777777" w:rsidTr="00666325">
        <w:tc>
          <w:tcPr>
            <w:tcW w:w="597" w:type="dxa"/>
          </w:tcPr>
          <w:p w14:paraId="7CB18F8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105.</w:t>
            </w:r>
          </w:p>
        </w:tc>
        <w:tc>
          <w:tcPr>
            <w:tcW w:w="2419" w:type="dxa"/>
          </w:tcPr>
          <w:p w14:paraId="42DBAF2B"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pacing w:val="2"/>
                <w:sz w:val="20"/>
                <w:lang w:val="en-AU" w:eastAsia="nl-NL"/>
              </w:rPr>
              <w:t>SB.16.006 Server and Application Infrastructure Not Shared</w:t>
            </w:r>
          </w:p>
        </w:tc>
        <w:tc>
          <w:tcPr>
            <w:tcW w:w="2608" w:type="dxa"/>
          </w:tcPr>
          <w:p w14:paraId="00DBD3F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2"/>
                <w:sz w:val="20"/>
                <w:lang w:val="nl" w:eastAsia="nl-NL"/>
              </w:rPr>
              <w:t>Server- en toepassingsinfrastructuur niet gedeeld</w:t>
            </w:r>
          </w:p>
        </w:tc>
        <w:tc>
          <w:tcPr>
            <w:tcW w:w="2746" w:type="dxa"/>
          </w:tcPr>
          <w:p w14:paraId="0C5FB8A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15.2 (SC.02) Service Level Management</w:t>
            </w:r>
          </w:p>
        </w:tc>
        <w:tc>
          <w:tcPr>
            <w:tcW w:w="1548" w:type="dxa"/>
          </w:tcPr>
          <w:p w14:paraId="4F3B6CD4"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Inkoop</w:t>
            </w:r>
          </w:p>
        </w:tc>
      </w:tr>
      <w:tr w:rsidR="00666325" w:rsidRPr="00666325" w14:paraId="51E9D77E" w14:textId="77777777" w:rsidTr="00666325">
        <w:tc>
          <w:tcPr>
            <w:tcW w:w="597" w:type="dxa"/>
          </w:tcPr>
          <w:p w14:paraId="45D9DB7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106.</w:t>
            </w:r>
          </w:p>
        </w:tc>
        <w:tc>
          <w:tcPr>
            <w:tcW w:w="2419" w:type="dxa"/>
          </w:tcPr>
          <w:p w14:paraId="51C607A0"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pacing w:val="4"/>
                <w:sz w:val="20"/>
                <w:lang w:val="en-AU" w:eastAsia="nl-NL"/>
              </w:rPr>
              <w:t>SB.18.001 Vulnerability Registration and Resolution</w:t>
            </w:r>
          </w:p>
        </w:tc>
        <w:tc>
          <w:tcPr>
            <w:tcW w:w="2608" w:type="dxa"/>
          </w:tcPr>
          <w:p w14:paraId="351F6E53"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4"/>
                <w:sz w:val="20"/>
                <w:lang w:val="nl" w:eastAsia="nl-NL"/>
              </w:rPr>
              <w:t>Registratie en oplossing van kwetsbaarheden</w:t>
            </w:r>
          </w:p>
        </w:tc>
        <w:tc>
          <w:tcPr>
            <w:tcW w:w="2746" w:type="dxa"/>
          </w:tcPr>
          <w:p w14:paraId="11D840E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11.6 (SM.06) Patchmanagement</w:t>
            </w:r>
          </w:p>
          <w:p w14:paraId="303E436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11.7 (SM.07) Threat en Vulnerability Management</w:t>
            </w:r>
          </w:p>
        </w:tc>
        <w:tc>
          <w:tcPr>
            <w:tcW w:w="1548" w:type="dxa"/>
          </w:tcPr>
          <w:p w14:paraId="5FAC47F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p w14:paraId="6F52ADF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tc>
      </w:tr>
      <w:tr w:rsidR="00666325" w:rsidRPr="00666325" w14:paraId="248F9D06" w14:textId="77777777" w:rsidTr="00666325">
        <w:tc>
          <w:tcPr>
            <w:tcW w:w="597" w:type="dxa"/>
          </w:tcPr>
          <w:p w14:paraId="12FCDE1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107.</w:t>
            </w:r>
          </w:p>
        </w:tc>
        <w:tc>
          <w:tcPr>
            <w:tcW w:w="2419" w:type="dxa"/>
          </w:tcPr>
          <w:p w14:paraId="09E189C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pacing w:val="3"/>
                <w:sz w:val="20"/>
                <w:lang w:val="en-AU" w:eastAsia="nl-NL"/>
              </w:rPr>
              <w:t>SB.18.002 Coordinated Vulnerability Disclosure Policy</w:t>
            </w:r>
          </w:p>
        </w:tc>
        <w:tc>
          <w:tcPr>
            <w:tcW w:w="2608" w:type="dxa"/>
          </w:tcPr>
          <w:p w14:paraId="2C6F5436"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Gecoördineerd beleid voor het vrijgeven van kwetsbaarheden</w:t>
            </w:r>
          </w:p>
        </w:tc>
        <w:tc>
          <w:tcPr>
            <w:tcW w:w="2746" w:type="dxa"/>
          </w:tcPr>
          <w:p w14:paraId="45FE68F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Responsible Disclosure (onderdeel Verantwoord Netwerkbebruik)</w:t>
            </w:r>
          </w:p>
        </w:tc>
        <w:tc>
          <w:tcPr>
            <w:tcW w:w="1548" w:type="dxa"/>
          </w:tcPr>
          <w:p w14:paraId="4C0CD0C6"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p w14:paraId="22B21300"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IT</w:t>
            </w:r>
          </w:p>
        </w:tc>
      </w:tr>
      <w:tr w:rsidR="00666325" w:rsidRPr="00666325" w14:paraId="4D726047" w14:textId="77777777" w:rsidTr="00666325">
        <w:tc>
          <w:tcPr>
            <w:tcW w:w="597" w:type="dxa"/>
          </w:tcPr>
          <w:p w14:paraId="3487C79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eastAsia="nl-NL"/>
              </w:rPr>
              <w:t>108.</w:t>
            </w:r>
          </w:p>
        </w:tc>
        <w:tc>
          <w:tcPr>
            <w:tcW w:w="2419" w:type="dxa"/>
          </w:tcPr>
          <w:p w14:paraId="5800F8F2"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3"/>
                <w:sz w:val="20"/>
                <w:lang w:eastAsia="nl-NL"/>
              </w:rPr>
              <w:t>SB.18.003 Automated Vulnerability Scanning</w:t>
            </w:r>
          </w:p>
        </w:tc>
        <w:tc>
          <w:tcPr>
            <w:tcW w:w="2608" w:type="dxa"/>
          </w:tcPr>
          <w:p w14:paraId="385B36E1" w14:textId="77777777" w:rsidR="00666325" w:rsidRPr="00666325" w:rsidRDefault="00666325" w:rsidP="00666325">
            <w:pPr>
              <w:contextualSpacing w:val="0"/>
              <w:rPr>
                <w:rFonts w:eastAsia="Times New Roman" w:cs="Calibri"/>
                <w:sz w:val="20"/>
                <w:lang w:eastAsia="nl-NL"/>
              </w:rPr>
            </w:pPr>
            <w:r w:rsidRPr="00666325">
              <w:rPr>
                <w:rFonts w:eastAsia="Times New Roman" w:cs="Calibri"/>
                <w:spacing w:val="3"/>
                <w:sz w:val="20"/>
                <w:lang w:val="nl" w:eastAsia="nl-NL"/>
              </w:rPr>
              <w:t>Geautomatiseerde kwetsbaarheidsscans</w:t>
            </w:r>
          </w:p>
        </w:tc>
        <w:tc>
          <w:tcPr>
            <w:tcW w:w="2746" w:type="dxa"/>
          </w:tcPr>
          <w:p w14:paraId="1E551CD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11.6 (SM.06) Patchmanagement</w:t>
            </w:r>
          </w:p>
          <w:p w14:paraId="424072C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11.7 (SM.07) Threat en Vulnerability Management</w:t>
            </w:r>
          </w:p>
        </w:tc>
        <w:tc>
          <w:tcPr>
            <w:tcW w:w="1548" w:type="dxa"/>
          </w:tcPr>
          <w:p w14:paraId="3D7FC369"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p w14:paraId="697876C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Hoofd IT</w:t>
            </w:r>
          </w:p>
        </w:tc>
      </w:tr>
      <w:tr w:rsidR="00666325" w:rsidRPr="00666325" w14:paraId="0FEECE28" w14:textId="77777777" w:rsidTr="00666325">
        <w:tc>
          <w:tcPr>
            <w:tcW w:w="597" w:type="dxa"/>
          </w:tcPr>
          <w:p w14:paraId="37E45A69"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en-AU" w:eastAsia="nl-NL"/>
              </w:rPr>
              <w:t>109.</w:t>
            </w:r>
          </w:p>
        </w:tc>
        <w:tc>
          <w:tcPr>
            <w:tcW w:w="2419" w:type="dxa"/>
          </w:tcPr>
          <w:p w14:paraId="4E6D471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pacing w:val="3"/>
                <w:sz w:val="20"/>
                <w:lang w:val="en-AU" w:eastAsia="nl-NL"/>
              </w:rPr>
              <w:t>SB.18.004 Automated Application Vulnerability Scanning</w:t>
            </w:r>
          </w:p>
        </w:tc>
        <w:tc>
          <w:tcPr>
            <w:tcW w:w="2608" w:type="dxa"/>
          </w:tcPr>
          <w:p w14:paraId="514CE1C5"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Geautomatiseerde kwetsbaarheidsscans voor toepassingen</w:t>
            </w:r>
          </w:p>
        </w:tc>
        <w:tc>
          <w:tcPr>
            <w:tcW w:w="2746" w:type="dxa"/>
          </w:tcPr>
          <w:p w14:paraId="0D7E270C"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11.6 (SM.06) Patchmanagement</w:t>
            </w:r>
          </w:p>
          <w:p w14:paraId="3BACC117"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11.7 (SM.07) Threat en Vulnerability Management</w:t>
            </w:r>
          </w:p>
        </w:tc>
        <w:tc>
          <w:tcPr>
            <w:tcW w:w="1548" w:type="dxa"/>
          </w:tcPr>
          <w:p w14:paraId="6D785F00"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p w14:paraId="3DE1866D"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Hoofd IT</w:t>
            </w:r>
          </w:p>
        </w:tc>
      </w:tr>
      <w:tr w:rsidR="00544B06" w:rsidRPr="00666325" w14:paraId="307C1B04" w14:textId="77777777" w:rsidTr="003B52A0">
        <w:tc>
          <w:tcPr>
            <w:tcW w:w="597" w:type="dxa"/>
          </w:tcPr>
          <w:p w14:paraId="65B39BE4"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lastRenderedPageBreak/>
              <w:t>Nr.</w:t>
            </w:r>
          </w:p>
        </w:tc>
        <w:tc>
          <w:tcPr>
            <w:tcW w:w="2419" w:type="dxa"/>
          </w:tcPr>
          <w:p w14:paraId="36707995"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(Engels)</w:t>
            </w:r>
          </w:p>
        </w:tc>
        <w:tc>
          <w:tcPr>
            <w:tcW w:w="2608" w:type="dxa"/>
            <w:tcMar>
              <w:right w:w="0" w:type="dxa"/>
            </w:tcMar>
          </w:tcPr>
          <w:p w14:paraId="13F5175B"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 xml:space="preserve">Baseline item </w:t>
            </w:r>
            <w:r w:rsidRPr="00666325">
              <w:rPr>
                <w:rFonts w:eastAsia="Times New Roman" w:cs="Calibri"/>
                <w:sz w:val="20"/>
                <w:szCs w:val="20"/>
                <w:lang w:eastAsia="nl-NL"/>
              </w:rPr>
              <w:t>(Nederlands)</w:t>
            </w:r>
          </w:p>
        </w:tc>
        <w:tc>
          <w:tcPr>
            <w:tcW w:w="2746" w:type="dxa"/>
          </w:tcPr>
          <w:p w14:paraId="3C8DC9D0"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Verwijzing (bijv. NBA)</w:t>
            </w:r>
          </w:p>
        </w:tc>
        <w:tc>
          <w:tcPr>
            <w:tcW w:w="1548" w:type="dxa"/>
          </w:tcPr>
          <w:p w14:paraId="2683FC8B" w14:textId="77777777" w:rsidR="00544B06" w:rsidRPr="00666325" w:rsidRDefault="00544B06" w:rsidP="003B52A0">
            <w:pPr>
              <w:contextualSpacing w:val="0"/>
              <w:rPr>
                <w:rFonts w:eastAsia="Times New Roman" w:cs="Calibri"/>
                <w:b/>
                <w:bCs/>
                <w:sz w:val="24"/>
                <w:szCs w:val="24"/>
                <w:lang w:eastAsia="nl-NL"/>
              </w:rPr>
            </w:pPr>
            <w:r w:rsidRPr="00666325">
              <w:rPr>
                <w:rFonts w:eastAsia="Times New Roman" w:cs="Calibri"/>
                <w:b/>
                <w:bCs/>
                <w:sz w:val="24"/>
                <w:szCs w:val="24"/>
                <w:lang w:eastAsia="nl-NL"/>
              </w:rPr>
              <w:t>Accountable</w:t>
            </w:r>
          </w:p>
        </w:tc>
      </w:tr>
      <w:tr w:rsidR="00666325" w:rsidRPr="00666325" w14:paraId="04B888AE" w14:textId="77777777" w:rsidTr="00666325">
        <w:tc>
          <w:tcPr>
            <w:tcW w:w="597" w:type="dxa"/>
          </w:tcPr>
          <w:p w14:paraId="57677DBE" w14:textId="77777777" w:rsidR="00666325" w:rsidRPr="00666325" w:rsidRDefault="00666325" w:rsidP="00666325">
            <w:pPr>
              <w:contextualSpacing w:val="0"/>
              <w:rPr>
                <w:rFonts w:eastAsia="Times New Roman" w:cs="Calibri"/>
                <w:sz w:val="20"/>
                <w:lang w:val="en-AU" w:eastAsia="nl-NL"/>
              </w:rPr>
            </w:pPr>
            <w:r w:rsidRPr="00666325">
              <w:rPr>
                <w:rFonts w:eastAsia="Times New Roman" w:cs="Calibri"/>
                <w:sz w:val="20"/>
                <w:lang w:val="en-AU" w:eastAsia="nl-NL"/>
              </w:rPr>
              <w:t>110.</w:t>
            </w:r>
          </w:p>
        </w:tc>
        <w:tc>
          <w:tcPr>
            <w:tcW w:w="2419" w:type="dxa"/>
          </w:tcPr>
          <w:p w14:paraId="384FB81E"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SB.18.005 Penetration Testing</w:t>
            </w:r>
          </w:p>
        </w:tc>
        <w:tc>
          <w:tcPr>
            <w:tcW w:w="2608" w:type="dxa"/>
          </w:tcPr>
          <w:p w14:paraId="6557256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val="nl" w:eastAsia="nl-NL"/>
              </w:rPr>
              <w:t>Penetratie testen</w:t>
            </w:r>
          </w:p>
        </w:tc>
        <w:tc>
          <w:tcPr>
            <w:tcW w:w="2746" w:type="dxa"/>
          </w:tcPr>
          <w:p w14:paraId="5B4387DC"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11.5 (SM.05) Testen van, inspectie van en toezicht op beveiliging</w:t>
            </w:r>
          </w:p>
        </w:tc>
        <w:tc>
          <w:tcPr>
            <w:tcW w:w="1548" w:type="dxa"/>
          </w:tcPr>
          <w:p w14:paraId="48BFE4C7" w14:textId="77777777" w:rsidR="00666325" w:rsidRPr="00666325" w:rsidRDefault="00666325" w:rsidP="00666325">
            <w:pPr>
              <w:contextualSpacing w:val="0"/>
              <w:rPr>
                <w:rFonts w:eastAsia="Times New Roman" w:cs="Calibri"/>
                <w:sz w:val="20"/>
                <w:lang w:eastAsia="nl-NL"/>
              </w:rPr>
            </w:pPr>
            <w:r w:rsidRPr="00666325">
              <w:rPr>
                <w:rFonts w:eastAsia="Times New Roman" w:cs="Calibri"/>
                <w:sz w:val="20"/>
                <w:lang w:eastAsia="nl-NL"/>
              </w:rPr>
              <w:t>Hoofd IT</w:t>
            </w:r>
          </w:p>
        </w:tc>
      </w:tr>
    </w:tbl>
    <w:p w14:paraId="693A95CE" w14:textId="5E4C1BF9" w:rsidR="00544B06" w:rsidRDefault="00544B06">
      <w:pPr>
        <w:contextualSpacing w:val="0"/>
        <w:rPr>
          <w:rFonts w:eastAsiaTheme="majorEastAsia" w:cstheme="majorBidi"/>
          <w:b/>
          <w:bCs/>
          <w:iCs/>
          <w:color w:val="0070C0"/>
          <w:kern w:val="32"/>
          <w:sz w:val="28"/>
          <w:szCs w:val="32"/>
          <w:lang w:eastAsia="nl-NL"/>
        </w:rPr>
      </w:pPr>
    </w:p>
    <w:p w14:paraId="65FF5360" w14:textId="77777777" w:rsidR="00076ACF" w:rsidRDefault="00076ACF">
      <w:pPr>
        <w:contextualSpacing w:val="0"/>
        <w:rPr>
          <w:rFonts w:eastAsiaTheme="majorEastAsia" w:cstheme="majorBidi"/>
          <w:b/>
          <w:bCs/>
          <w:iCs/>
          <w:color w:val="0070C0"/>
          <w:kern w:val="32"/>
          <w:sz w:val="28"/>
          <w:szCs w:val="32"/>
          <w:lang w:eastAsia="nl-NL"/>
        </w:rPr>
      </w:pPr>
      <w:r>
        <w:rPr>
          <w:rFonts w:eastAsiaTheme="majorEastAsia" w:cstheme="majorBidi"/>
          <w:b/>
          <w:bCs/>
          <w:iCs/>
          <w:color w:val="0070C0"/>
          <w:kern w:val="32"/>
          <w:sz w:val="28"/>
          <w:szCs w:val="32"/>
          <w:lang w:eastAsia="nl-NL"/>
        </w:rPr>
        <w:br w:type="page"/>
      </w:r>
    </w:p>
    <w:p w14:paraId="28D9F64D" w14:textId="07CA854A" w:rsidR="00544B06" w:rsidRDefault="00076ACF" w:rsidP="00076ACF">
      <w:pPr>
        <w:pStyle w:val="Kop1"/>
      </w:pPr>
      <w:bookmarkStart w:id="8" w:name="_Toc144979129"/>
      <w:r>
        <w:lastRenderedPageBreak/>
        <w:t>IT audit beoordeling</w:t>
      </w:r>
      <w:bookmarkEnd w:id="8"/>
    </w:p>
    <w:tbl>
      <w:tblPr>
        <w:tblStyle w:val="Tabelraster10"/>
        <w:tblW w:w="0" w:type="auto"/>
        <w:tblInd w:w="-5" w:type="dxa"/>
        <w:tblLook w:val="04A0" w:firstRow="1" w:lastRow="0" w:firstColumn="1" w:lastColumn="0" w:noHBand="0" w:noVBand="1"/>
      </w:tblPr>
      <w:tblGrid>
        <w:gridCol w:w="1528"/>
        <w:gridCol w:w="8106"/>
      </w:tblGrid>
      <w:tr w:rsidR="00076ACF" w:rsidRPr="00076ACF" w14:paraId="6DEB6763" w14:textId="77777777" w:rsidTr="003B52A0">
        <w:tc>
          <w:tcPr>
            <w:tcW w:w="1541" w:type="dxa"/>
          </w:tcPr>
          <w:p w14:paraId="6AB5CBA1" w14:textId="0D16D22E" w:rsidR="00076ACF" w:rsidRPr="00076ACF" w:rsidRDefault="00076ACF" w:rsidP="00076ACF">
            <w:pPr>
              <w:contextualSpacing w:val="0"/>
              <w:rPr>
                <w:rFonts w:cs="Calibri"/>
                <w:b/>
                <w:bCs/>
                <w:sz w:val="24"/>
                <w:szCs w:val="24"/>
              </w:rPr>
            </w:pPr>
            <w:r w:rsidRPr="00076ACF">
              <w:rPr>
                <w:rFonts w:cs="Calibri"/>
                <w:b/>
                <w:bCs/>
                <w:color w:val="2E74B5"/>
              </w:rPr>
              <w:t>Risico</w:t>
            </w:r>
            <w:r w:rsidRPr="00076ACF">
              <w:rPr>
                <w:rFonts w:cs="Calibri"/>
              </w:rPr>
              <w:t>:</w:t>
            </w:r>
          </w:p>
        </w:tc>
        <w:tc>
          <w:tcPr>
            <w:tcW w:w="8200" w:type="dxa"/>
          </w:tcPr>
          <w:p w14:paraId="5B51D87F" w14:textId="77777777" w:rsidR="00076ACF" w:rsidRPr="00076ACF" w:rsidRDefault="00076ACF" w:rsidP="00076ACF">
            <w:pPr>
              <w:contextualSpacing w:val="0"/>
              <w:rPr>
                <w:rFonts w:cs="Calibri"/>
                <w:b/>
                <w:bCs/>
                <w:sz w:val="24"/>
                <w:szCs w:val="24"/>
              </w:rPr>
            </w:pPr>
            <w:r w:rsidRPr="00076ACF">
              <w:rPr>
                <w:rFonts w:cs="Calibri"/>
                <w:noProof/>
              </w:rPr>
              <w:t>Afwezige of onjuiste beveiligings-baselines kunnen leiden tot een afwijkende of inconsistente implementatie van beveiligingsparameters, wat uiteindelijk leidt tot ongeautoriseerde toegang of verstoring van IT-services.</w:t>
            </w:r>
          </w:p>
        </w:tc>
      </w:tr>
      <w:tr w:rsidR="00076ACF" w:rsidRPr="00076ACF" w14:paraId="097E41BA" w14:textId="77777777" w:rsidTr="003B52A0">
        <w:tc>
          <w:tcPr>
            <w:tcW w:w="1541" w:type="dxa"/>
          </w:tcPr>
          <w:p w14:paraId="7AEA2657" w14:textId="77777777" w:rsidR="00076ACF" w:rsidRPr="00076ACF" w:rsidRDefault="00076ACF" w:rsidP="00076ACF">
            <w:pPr>
              <w:contextualSpacing w:val="0"/>
              <w:rPr>
                <w:rFonts w:cs="Calibri"/>
                <w:b/>
                <w:bCs/>
                <w:sz w:val="24"/>
                <w:szCs w:val="24"/>
              </w:rPr>
            </w:pPr>
            <w:r w:rsidRPr="00076ACF">
              <w:rPr>
                <w:rFonts w:cs="Calibri"/>
                <w:b/>
                <w:bCs/>
                <w:color w:val="2E74B5"/>
              </w:rPr>
              <w:t>Doelstelling</w:t>
            </w:r>
            <w:r w:rsidRPr="00076ACF">
              <w:rPr>
                <w:rFonts w:cs="Calibri"/>
              </w:rPr>
              <w:t>:</w:t>
            </w:r>
          </w:p>
        </w:tc>
        <w:tc>
          <w:tcPr>
            <w:tcW w:w="8200" w:type="dxa"/>
          </w:tcPr>
          <w:p w14:paraId="03CDCEAC" w14:textId="77777777" w:rsidR="00076ACF" w:rsidRPr="00076ACF" w:rsidRDefault="00076ACF" w:rsidP="00076ACF">
            <w:pPr>
              <w:contextualSpacing w:val="0"/>
              <w:rPr>
                <w:rFonts w:cs="Calibri"/>
              </w:rPr>
            </w:pPr>
            <w:r w:rsidRPr="00076ACF">
              <w:rPr>
                <w:rFonts w:cs="Calibri"/>
                <w:noProof/>
              </w:rPr>
              <w:t>Beveiligingsbaselines en richtlijnen voor IT-infrastructuur zijn vastgesteld om het risico van ongeoorloofde toegang tot IT-middelen te beperken. Beveiligingsbaselines worden formeel vastgelegd, periodiek geactualiseerd en goedgekeurd door het senior management. Verantwoordelijk IT-personeel wordt hiervan op de hoogte gesteld. Geïmplementeerde beveiligingsinstellingen voor IT-middelen worden periodiek beoordeeld op naleving van beveiligingsbaselines. Afwijkingen van de baselines zijn gedocumenteerd en goedgekeurd.</w:t>
            </w:r>
          </w:p>
        </w:tc>
      </w:tr>
    </w:tbl>
    <w:p w14:paraId="4BAC3A9C" w14:textId="77777777" w:rsidR="00076ACF" w:rsidRPr="00076ACF" w:rsidRDefault="00076ACF" w:rsidP="00076ACF">
      <w:pPr>
        <w:contextualSpacing w:val="0"/>
        <w:rPr>
          <w:szCs w:val="22"/>
        </w:rPr>
      </w:pPr>
    </w:p>
    <w:p w14:paraId="29515BCC" w14:textId="77777777" w:rsidR="00076ACF" w:rsidRPr="00076ACF" w:rsidRDefault="00076ACF" w:rsidP="00076ACF">
      <w:pPr>
        <w:contextualSpacing w:val="0"/>
        <w:rPr>
          <w:rFonts w:cs="Calibri"/>
          <w:b/>
          <w:bCs/>
          <w:szCs w:val="22"/>
        </w:rPr>
      </w:pPr>
      <w:r w:rsidRPr="00076ACF">
        <w:rPr>
          <w:rFonts w:cs="Calibri"/>
          <w:b/>
          <w:bCs/>
          <w:color w:val="2E74B5"/>
          <w:szCs w:val="22"/>
        </w:rPr>
        <w:t>Volwassenheidsniveaus</w:t>
      </w:r>
    </w:p>
    <w:tbl>
      <w:tblPr>
        <w:tblStyle w:val="Tabelraster10"/>
        <w:tblW w:w="0" w:type="auto"/>
        <w:tblLook w:val="04A0" w:firstRow="1" w:lastRow="0" w:firstColumn="1" w:lastColumn="0" w:noHBand="0" w:noVBand="1"/>
      </w:tblPr>
      <w:tblGrid>
        <w:gridCol w:w="541"/>
        <w:gridCol w:w="9088"/>
      </w:tblGrid>
      <w:tr w:rsidR="00076ACF" w:rsidRPr="00076ACF" w14:paraId="7D52FB85" w14:textId="77777777" w:rsidTr="003B52A0">
        <w:trPr>
          <w:cantSplit/>
        </w:trPr>
        <w:tc>
          <w:tcPr>
            <w:tcW w:w="560" w:type="dxa"/>
            <w:shd w:val="clear" w:color="auto" w:fill="FF0000"/>
          </w:tcPr>
          <w:p w14:paraId="313B74E1" w14:textId="77777777" w:rsidR="00076ACF" w:rsidRPr="00076ACF" w:rsidRDefault="00076ACF" w:rsidP="00076ACF">
            <w:pPr>
              <w:contextualSpacing w:val="0"/>
              <w:jc w:val="center"/>
              <w:rPr>
                <w:rFonts w:cs="Calibri"/>
                <w:b/>
                <w:bCs/>
                <w:sz w:val="32"/>
                <w:szCs w:val="32"/>
              </w:rPr>
            </w:pPr>
            <w:r w:rsidRPr="00076ACF">
              <w:rPr>
                <w:rFonts w:cs="Calibri"/>
                <w:b/>
                <w:bCs/>
                <w:color w:val="FFFFFF"/>
                <w:sz w:val="32"/>
                <w:szCs w:val="32"/>
              </w:rPr>
              <w:t>1</w:t>
            </w:r>
          </w:p>
        </w:tc>
        <w:tc>
          <w:tcPr>
            <w:tcW w:w="9783" w:type="dxa"/>
            <w:tcBorders>
              <w:left w:val="single" w:sz="4" w:space="0" w:color="auto"/>
            </w:tcBorders>
            <w:tcMar>
              <w:left w:w="57" w:type="dxa"/>
            </w:tcMar>
          </w:tcPr>
          <w:p w14:paraId="50FFB86D" w14:textId="77777777" w:rsidR="00076ACF" w:rsidRPr="00076ACF" w:rsidRDefault="00076ACF" w:rsidP="00076ACF">
            <w:pPr>
              <w:numPr>
                <w:ilvl w:val="0"/>
                <w:numId w:val="40"/>
              </w:numPr>
              <w:ind w:left="374" w:hanging="284"/>
              <w:contextualSpacing w:val="0"/>
              <w:rPr>
                <w:rFonts w:cs="Calibri"/>
                <w:bCs/>
              </w:rPr>
            </w:pPr>
            <w:r w:rsidRPr="00076ACF">
              <w:rPr>
                <w:rFonts w:cs="Calibri"/>
                <w:bCs/>
                <w:noProof/>
              </w:rPr>
              <w:t>Er zijn geen beveiligingsbaselines.</w:t>
            </w:r>
          </w:p>
        </w:tc>
      </w:tr>
      <w:tr w:rsidR="00076ACF" w:rsidRPr="00076ACF" w14:paraId="4F7EF73A" w14:textId="77777777" w:rsidTr="003B52A0">
        <w:trPr>
          <w:cantSplit/>
        </w:trPr>
        <w:tc>
          <w:tcPr>
            <w:tcW w:w="560" w:type="dxa"/>
            <w:shd w:val="clear" w:color="auto" w:fill="FFC000"/>
          </w:tcPr>
          <w:p w14:paraId="738819EB" w14:textId="77777777" w:rsidR="00076ACF" w:rsidRPr="00076ACF" w:rsidRDefault="00076ACF" w:rsidP="00076ACF">
            <w:pPr>
              <w:contextualSpacing w:val="0"/>
              <w:jc w:val="center"/>
              <w:rPr>
                <w:rFonts w:cs="Calibri"/>
                <w:b/>
                <w:bCs/>
                <w:sz w:val="32"/>
                <w:szCs w:val="32"/>
              </w:rPr>
            </w:pPr>
            <w:r w:rsidRPr="00076ACF">
              <w:rPr>
                <w:rFonts w:cs="Calibri"/>
                <w:b/>
                <w:bCs/>
                <w:color w:val="FFFFFF"/>
                <w:sz w:val="32"/>
                <w:szCs w:val="32"/>
              </w:rPr>
              <w:t>2</w:t>
            </w:r>
          </w:p>
        </w:tc>
        <w:tc>
          <w:tcPr>
            <w:tcW w:w="9783" w:type="dxa"/>
            <w:tcBorders>
              <w:left w:val="single" w:sz="4" w:space="0" w:color="auto"/>
            </w:tcBorders>
            <w:tcMar>
              <w:left w:w="57" w:type="dxa"/>
            </w:tcMar>
          </w:tcPr>
          <w:p w14:paraId="47574F45" w14:textId="77777777" w:rsidR="00076ACF" w:rsidRPr="00076ACF" w:rsidRDefault="00076ACF" w:rsidP="00076ACF">
            <w:pPr>
              <w:numPr>
                <w:ilvl w:val="0"/>
                <w:numId w:val="41"/>
              </w:numPr>
              <w:ind w:left="374" w:hanging="284"/>
              <w:contextualSpacing w:val="0"/>
              <w:rPr>
                <w:rFonts w:cs="Calibri"/>
                <w:bCs/>
                <w:noProof/>
              </w:rPr>
            </w:pPr>
            <w:r w:rsidRPr="00076ACF">
              <w:rPr>
                <w:rFonts w:cs="Calibri"/>
                <w:bCs/>
                <w:noProof/>
              </w:rPr>
              <w:t xml:space="preserve">Er zijn beveiligingsbaselines gedefinieerd voor belangrijkste IT-infrastructuurcomponenten. </w:t>
            </w:r>
          </w:p>
          <w:p w14:paraId="7B88F07D" w14:textId="77777777" w:rsidR="00076ACF" w:rsidRPr="00076ACF" w:rsidRDefault="00076ACF" w:rsidP="00076ACF">
            <w:pPr>
              <w:numPr>
                <w:ilvl w:val="0"/>
                <w:numId w:val="41"/>
              </w:numPr>
              <w:ind w:left="374" w:hanging="284"/>
              <w:contextualSpacing w:val="0"/>
              <w:rPr>
                <w:rFonts w:cs="Calibri"/>
                <w:bCs/>
              </w:rPr>
            </w:pPr>
            <w:r w:rsidRPr="00076ACF">
              <w:rPr>
                <w:rFonts w:cs="Calibri"/>
                <w:bCs/>
                <w:noProof/>
              </w:rPr>
              <w:t>Beveiligingsbaselines worden ad-hoc geïmplementeerd en afwijkingen van de baselines worden niet gedocumenteerd.</w:t>
            </w:r>
          </w:p>
        </w:tc>
      </w:tr>
      <w:tr w:rsidR="00076ACF" w:rsidRPr="00076ACF" w14:paraId="663627AC" w14:textId="77777777" w:rsidTr="003B52A0">
        <w:trPr>
          <w:cantSplit/>
        </w:trPr>
        <w:tc>
          <w:tcPr>
            <w:tcW w:w="560" w:type="dxa"/>
            <w:shd w:val="clear" w:color="auto" w:fill="FFFF00"/>
          </w:tcPr>
          <w:p w14:paraId="54DF43CF" w14:textId="77777777" w:rsidR="00076ACF" w:rsidRPr="00076ACF" w:rsidRDefault="00076ACF" w:rsidP="00076ACF">
            <w:pPr>
              <w:contextualSpacing w:val="0"/>
              <w:jc w:val="center"/>
              <w:rPr>
                <w:rFonts w:cs="Calibri"/>
                <w:b/>
                <w:bCs/>
                <w:color w:val="FFFFFF"/>
                <w:sz w:val="32"/>
                <w:szCs w:val="32"/>
              </w:rPr>
            </w:pPr>
            <w:r w:rsidRPr="00076ACF">
              <w:rPr>
                <w:rFonts w:cs="Calibri"/>
                <w:b/>
                <w:bCs/>
                <w:sz w:val="32"/>
                <w:szCs w:val="32"/>
              </w:rPr>
              <w:t>3</w:t>
            </w:r>
          </w:p>
        </w:tc>
        <w:tc>
          <w:tcPr>
            <w:tcW w:w="9783" w:type="dxa"/>
            <w:tcBorders>
              <w:left w:val="single" w:sz="4" w:space="0" w:color="auto"/>
            </w:tcBorders>
            <w:tcMar>
              <w:left w:w="57" w:type="dxa"/>
            </w:tcMar>
          </w:tcPr>
          <w:p w14:paraId="143950F1" w14:textId="7F681536" w:rsidR="00076ACF" w:rsidRDefault="00076ACF" w:rsidP="00076ACF">
            <w:pPr>
              <w:numPr>
                <w:ilvl w:val="0"/>
                <w:numId w:val="42"/>
              </w:numPr>
              <w:ind w:left="374" w:hanging="284"/>
              <w:contextualSpacing w:val="0"/>
              <w:rPr>
                <w:rFonts w:cs="Calibri"/>
                <w:bCs/>
                <w:noProof/>
              </w:rPr>
            </w:pPr>
            <w:r w:rsidRPr="00076ACF">
              <w:rPr>
                <w:rFonts w:cs="Calibri"/>
                <w:bCs/>
                <w:noProof/>
              </w:rPr>
              <w:t>Beveiligingsbaselines zijn gedefinieerd, goedgekeurd door het senior management en gecommuniceerd naar verantwoordelijk IT-personeel.</w:t>
            </w:r>
          </w:p>
          <w:p w14:paraId="297548B0" w14:textId="77777777" w:rsidR="00E961FD" w:rsidRPr="00E961FD" w:rsidRDefault="00E961FD" w:rsidP="00076ACF">
            <w:pPr>
              <w:numPr>
                <w:ilvl w:val="0"/>
                <w:numId w:val="42"/>
              </w:numPr>
              <w:ind w:left="374" w:hanging="284"/>
              <w:contextualSpacing w:val="0"/>
              <w:rPr>
                <w:rFonts w:cs="Calibri"/>
                <w:bCs/>
                <w:noProof/>
              </w:rPr>
            </w:pPr>
            <w:r w:rsidRPr="00E961FD">
              <w:rPr>
                <w:rFonts w:cs="Calibri"/>
                <w:bCs/>
                <w:i/>
                <w:iCs/>
                <w:noProof/>
                <w:color w:val="0070C0"/>
              </w:rPr>
              <w:t>Zie document NBADOC- P12 Security Baselines 14-8-2023, versiebeheer</w:t>
            </w:r>
          </w:p>
          <w:p w14:paraId="75E2E0E0" w14:textId="1D6E3F0B" w:rsidR="00076ACF" w:rsidRDefault="00076ACF" w:rsidP="00076ACF">
            <w:pPr>
              <w:numPr>
                <w:ilvl w:val="0"/>
                <w:numId w:val="42"/>
              </w:numPr>
              <w:ind w:left="374" w:hanging="284"/>
              <w:contextualSpacing w:val="0"/>
              <w:rPr>
                <w:rFonts w:cs="Calibri"/>
                <w:bCs/>
                <w:noProof/>
              </w:rPr>
            </w:pPr>
            <w:r w:rsidRPr="00076ACF">
              <w:rPr>
                <w:rFonts w:cs="Calibri"/>
                <w:bCs/>
                <w:noProof/>
              </w:rPr>
              <w:t xml:space="preserve">De geïmplementeerde beveiligingsinstellingen voor IT-middelen worden periodiek gecontroleerd op overeenstemming met de beveiligingsbaselines. </w:t>
            </w:r>
          </w:p>
          <w:p w14:paraId="15F71B8F" w14:textId="0B01338C" w:rsidR="00076ACF" w:rsidRPr="00076ACF" w:rsidRDefault="00076ACF" w:rsidP="00076ACF">
            <w:pPr>
              <w:ind w:left="374"/>
              <w:contextualSpacing w:val="0"/>
              <w:rPr>
                <w:rFonts w:cs="Calibri"/>
                <w:bCs/>
                <w:i/>
                <w:iCs/>
                <w:noProof/>
                <w:color w:val="0070C0"/>
              </w:rPr>
            </w:pPr>
            <w:r>
              <w:rPr>
                <w:rFonts w:cs="Calibri"/>
                <w:bCs/>
                <w:i/>
                <w:iCs/>
                <w:noProof/>
                <w:color w:val="0070C0"/>
              </w:rPr>
              <w:t>Beoordeling opgenomen in de roadmap.</w:t>
            </w:r>
          </w:p>
          <w:p w14:paraId="1BD9DB7A" w14:textId="48232CA5" w:rsidR="00076ACF" w:rsidRDefault="00076ACF" w:rsidP="00076ACF">
            <w:pPr>
              <w:numPr>
                <w:ilvl w:val="0"/>
                <w:numId w:val="42"/>
              </w:numPr>
              <w:ind w:left="374" w:hanging="284"/>
              <w:contextualSpacing w:val="0"/>
              <w:rPr>
                <w:rFonts w:cs="Calibri"/>
                <w:bCs/>
                <w:noProof/>
              </w:rPr>
            </w:pPr>
            <w:r w:rsidRPr="00076ACF">
              <w:rPr>
                <w:rFonts w:cs="Calibri"/>
                <w:bCs/>
                <w:noProof/>
              </w:rPr>
              <w:t>Resultaten worden gedocumenteerd, afwijkingen worden gedocumenteerd en goedgekeurd (of gecorrigeerd).</w:t>
            </w:r>
          </w:p>
          <w:p w14:paraId="117F779B" w14:textId="77777777" w:rsidR="00E961FD" w:rsidRPr="00E961FD" w:rsidRDefault="00E961FD" w:rsidP="00E961FD">
            <w:pPr>
              <w:ind w:left="374"/>
              <w:contextualSpacing w:val="0"/>
              <w:rPr>
                <w:rFonts w:cs="Calibri"/>
                <w:bCs/>
                <w:noProof/>
                <w:color w:val="FF0000"/>
              </w:rPr>
            </w:pPr>
            <w:r w:rsidRPr="00E961FD">
              <w:rPr>
                <w:rFonts w:cs="Calibri"/>
                <w:bCs/>
                <w:i/>
                <w:iCs/>
                <w:noProof/>
                <w:color w:val="FF0000"/>
              </w:rPr>
              <w:t>Zie verslag beoordeling Security Baselines</w:t>
            </w:r>
          </w:p>
          <w:p w14:paraId="0FC59298" w14:textId="7B33E906" w:rsidR="00076ACF" w:rsidRDefault="00076ACF" w:rsidP="00076ACF">
            <w:pPr>
              <w:numPr>
                <w:ilvl w:val="0"/>
                <w:numId w:val="42"/>
              </w:numPr>
              <w:ind w:left="374" w:hanging="284"/>
              <w:contextualSpacing w:val="0"/>
              <w:rPr>
                <w:rFonts w:cs="Calibri"/>
                <w:bCs/>
                <w:noProof/>
              </w:rPr>
            </w:pPr>
            <w:r w:rsidRPr="00076ACF">
              <w:rPr>
                <w:rFonts w:cs="Calibri"/>
                <w:bCs/>
                <w:noProof/>
              </w:rPr>
              <w:t xml:space="preserve">Voor nieuwe IT infrastructuur componenten en projectmanagement processen wordt implementatie van beveiligingsbaselines afgedwongen. </w:t>
            </w:r>
          </w:p>
          <w:p w14:paraId="2C27B9B9" w14:textId="5C0B2EFD" w:rsidR="00076ACF" w:rsidRPr="00076ACF" w:rsidRDefault="00076ACF" w:rsidP="00076ACF">
            <w:pPr>
              <w:ind w:left="374"/>
              <w:contextualSpacing w:val="0"/>
              <w:rPr>
                <w:rFonts w:cs="Calibri"/>
                <w:bCs/>
                <w:i/>
                <w:iCs/>
                <w:noProof/>
                <w:color w:val="0070C0"/>
              </w:rPr>
            </w:pPr>
            <w:r>
              <w:rPr>
                <w:rFonts w:cs="Calibri"/>
                <w:bCs/>
                <w:i/>
                <w:iCs/>
                <w:noProof/>
                <w:color w:val="0070C0"/>
              </w:rPr>
              <w:t>Onderdeel van Control 70, Aanbesteding.</w:t>
            </w:r>
          </w:p>
          <w:p w14:paraId="5C861537" w14:textId="77777777" w:rsidR="00076ACF" w:rsidRDefault="00076ACF" w:rsidP="00076ACF">
            <w:pPr>
              <w:numPr>
                <w:ilvl w:val="0"/>
                <w:numId w:val="42"/>
              </w:numPr>
              <w:ind w:left="374" w:hanging="284"/>
              <w:contextualSpacing w:val="0"/>
              <w:rPr>
                <w:rFonts w:cs="Calibri"/>
                <w:bCs/>
              </w:rPr>
            </w:pPr>
            <w:r w:rsidRPr="00076ACF">
              <w:rPr>
                <w:rFonts w:cs="Calibri"/>
                <w:bCs/>
                <w:noProof/>
              </w:rPr>
              <w:t>In hoeverre aan de baseline wordt voldaan wordt periodiek gerapporteerd aan het senior management.</w:t>
            </w:r>
          </w:p>
          <w:p w14:paraId="29957855" w14:textId="77D85589" w:rsidR="00076ACF" w:rsidRPr="00076ACF" w:rsidRDefault="00E961FD" w:rsidP="00076ACF">
            <w:pPr>
              <w:ind w:left="374"/>
              <w:contextualSpacing w:val="0"/>
              <w:rPr>
                <w:rFonts w:cs="Calibri"/>
                <w:bCs/>
                <w:i/>
                <w:iCs/>
                <w:color w:val="0070C0"/>
              </w:rPr>
            </w:pPr>
            <w:r w:rsidRPr="00E961FD">
              <w:rPr>
                <w:rFonts w:cs="Calibri"/>
                <w:bCs/>
                <w:i/>
                <w:iCs/>
                <w:color w:val="FF0000"/>
              </w:rPr>
              <w:t>Kwartaalrapportage vanaf Q4-2023 beschikbaar.</w:t>
            </w:r>
          </w:p>
        </w:tc>
      </w:tr>
      <w:tr w:rsidR="00076ACF" w:rsidRPr="00076ACF" w14:paraId="155E7223" w14:textId="77777777" w:rsidTr="003B52A0">
        <w:trPr>
          <w:cantSplit/>
        </w:trPr>
        <w:tc>
          <w:tcPr>
            <w:tcW w:w="560" w:type="dxa"/>
            <w:shd w:val="clear" w:color="auto" w:fill="92D050"/>
          </w:tcPr>
          <w:p w14:paraId="469CE6AC" w14:textId="77777777" w:rsidR="00076ACF" w:rsidRPr="00076ACF" w:rsidRDefault="00076ACF" w:rsidP="00076ACF">
            <w:pPr>
              <w:contextualSpacing w:val="0"/>
              <w:jc w:val="center"/>
              <w:rPr>
                <w:rFonts w:cs="Calibri"/>
                <w:b/>
                <w:bCs/>
                <w:sz w:val="32"/>
                <w:szCs w:val="32"/>
              </w:rPr>
            </w:pPr>
            <w:r w:rsidRPr="00076ACF">
              <w:rPr>
                <w:rFonts w:cs="Calibri"/>
                <w:b/>
                <w:bCs/>
                <w:sz w:val="32"/>
                <w:szCs w:val="32"/>
              </w:rPr>
              <w:t>4</w:t>
            </w:r>
          </w:p>
        </w:tc>
        <w:tc>
          <w:tcPr>
            <w:tcW w:w="9783" w:type="dxa"/>
            <w:tcBorders>
              <w:left w:val="single" w:sz="4" w:space="0" w:color="auto"/>
            </w:tcBorders>
            <w:tcMar>
              <w:left w:w="57" w:type="dxa"/>
            </w:tcMar>
          </w:tcPr>
          <w:p w14:paraId="0C4A31A0" w14:textId="77777777" w:rsidR="00076ACF" w:rsidRPr="00076ACF" w:rsidRDefault="00076ACF" w:rsidP="00076ACF">
            <w:pPr>
              <w:numPr>
                <w:ilvl w:val="0"/>
                <w:numId w:val="43"/>
              </w:numPr>
              <w:ind w:left="374" w:hanging="284"/>
              <w:contextualSpacing w:val="0"/>
              <w:rPr>
                <w:rFonts w:cs="Calibri"/>
                <w:bCs/>
              </w:rPr>
            </w:pPr>
            <w:r w:rsidRPr="00076ACF">
              <w:rPr>
                <w:rFonts w:cs="Calibri"/>
                <w:bCs/>
                <w:noProof/>
              </w:rPr>
              <w:t>Beveiligingsbaselines worden periodiek geëvalueerd en geactualiseerd (indien nodig).</w:t>
            </w:r>
          </w:p>
        </w:tc>
      </w:tr>
      <w:tr w:rsidR="00076ACF" w:rsidRPr="00076ACF" w14:paraId="390B4BBB" w14:textId="77777777" w:rsidTr="003B52A0">
        <w:trPr>
          <w:cantSplit/>
        </w:trPr>
        <w:tc>
          <w:tcPr>
            <w:tcW w:w="560" w:type="dxa"/>
            <w:shd w:val="clear" w:color="auto" w:fill="00B050"/>
          </w:tcPr>
          <w:p w14:paraId="634D663B" w14:textId="77777777" w:rsidR="00076ACF" w:rsidRPr="00076ACF" w:rsidRDefault="00076ACF" w:rsidP="00076ACF">
            <w:pPr>
              <w:contextualSpacing w:val="0"/>
              <w:jc w:val="center"/>
              <w:rPr>
                <w:rFonts w:cs="Calibri"/>
                <w:b/>
                <w:bCs/>
                <w:sz w:val="32"/>
                <w:szCs w:val="32"/>
              </w:rPr>
            </w:pPr>
            <w:r w:rsidRPr="00076ACF">
              <w:rPr>
                <w:rFonts w:cs="Calibri"/>
                <w:b/>
                <w:bCs/>
                <w:color w:val="FFFFFF"/>
                <w:sz w:val="32"/>
                <w:szCs w:val="32"/>
              </w:rPr>
              <w:t>5</w:t>
            </w:r>
          </w:p>
        </w:tc>
        <w:tc>
          <w:tcPr>
            <w:tcW w:w="9783" w:type="dxa"/>
            <w:tcBorders>
              <w:left w:val="single" w:sz="4" w:space="0" w:color="auto"/>
            </w:tcBorders>
            <w:tcMar>
              <w:left w:w="57" w:type="dxa"/>
            </w:tcMar>
          </w:tcPr>
          <w:p w14:paraId="2B57C425" w14:textId="77777777" w:rsidR="00076ACF" w:rsidRPr="00076ACF" w:rsidRDefault="00076ACF" w:rsidP="00076ACF">
            <w:pPr>
              <w:numPr>
                <w:ilvl w:val="0"/>
                <w:numId w:val="44"/>
              </w:numPr>
              <w:ind w:left="374" w:hanging="284"/>
              <w:contextualSpacing w:val="0"/>
              <w:rPr>
                <w:rFonts w:cs="Calibri"/>
                <w:bCs/>
                <w:i/>
                <w:iCs/>
                <w:noProof/>
                <w:color w:val="0070C0"/>
              </w:rPr>
            </w:pPr>
            <w:r w:rsidRPr="00076ACF">
              <w:rPr>
                <w:rFonts w:cs="Calibri"/>
                <w:bCs/>
                <w:noProof/>
              </w:rPr>
              <w:t xml:space="preserve">Het bewaken van de mate waarin aan de beveiligingsbaselines wordt voldaan, wordt gedaan door middel van continuous monitoring/audittools. </w:t>
            </w:r>
            <w:r w:rsidRPr="00076ACF">
              <w:rPr>
                <w:rFonts w:cs="Calibri"/>
                <w:bCs/>
                <w:i/>
                <w:iCs/>
                <w:noProof/>
                <w:color w:val="0070C0"/>
              </w:rPr>
              <w:t>(CIS compliance)</w:t>
            </w:r>
          </w:p>
          <w:p w14:paraId="610C89B2" w14:textId="77777777" w:rsidR="00076ACF" w:rsidRPr="00076ACF" w:rsidRDefault="00076ACF" w:rsidP="00076ACF">
            <w:pPr>
              <w:numPr>
                <w:ilvl w:val="0"/>
                <w:numId w:val="44"/>
              </w:numPr>
              <w:ind w:left="374" w:hanging="284"/>
              <w:contextualSpacing w:val="0"/>
              <w:rPr>
                <w:rFonts w:cs="Calibri"/>
                <w:bCs/>
              </w:rPr>
            </w:pPr>
            <w:r w:rsidRPr="00076ACF">
              <w:rPr>
                <w:rFonts w:cs="Calibri"/>
                <w:bCs/>
                <w:noProof/>
              </w:rPr>
              <w:t>Afwijkingen van de baselines worden real-time gerapporteerd en indien nodig gecorrigeerd.</w:t>
            </w:r>
          </w:p>
        </w:tc>
      </w:tr>
    </w:tbl>
    <w:p w14:paraId="17D194F4" w14:textId="77777777" w:rsidR="008428D1" w:rsidRPr="00666325" w:rsidRDefault="008428D1">
      <w:pPr>
        <w:contextualSpacing w:val="0"/>
        <w:rPr>
          <w:rFonts w:eastAsiaTheme="majorEastAsia" w:cstheme="majorBidi"/>
          <w:b/>
          <w:bCs/>
          <w:iCs/>
          <w:color w:val="0070C0"/>
          <w:kern w:val="32"/>
          <w:sz w:val="28"/>
          <w:szCs w:val="32"/>
          <w:lang w:eastAsia="nl-NL"/>
        </w:rPr>
      </w:pPr>
    </w:p>
    <w:sectPr w:rsidR="008428D1" w:rsidRPr="00666325" w:rsidSect="00666325">
      <w:headerReference w:type="default" r:id="rId13"/>
      <w:footerReference w:type="default" r:id="rId14"/>
      <w:pgSz w:w="11906" w:h="16838"/>
      <w:pgMar w:top="1417" w:right="1274" w:bottom="1417" w:left="993"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DED2" w14:textId="77777777" w:rsidR="00416397" w:rsidRDefault="00416397" w:rsidP="0003449B">
      <w:r>
        <w:separator/>
      </w:r>
    </w:p>
  </w:endnote>
  <w:endnote w:type="continuationSeparator" w:id="0">
    <w:p w14:paraId="22F056F3" w14:textId="77777777" w:rsidR="00416397" w:rsidRDefault="00416397" w:rsidP="0003449B">
      <w:r>
        <w:continuationSeparator/>
      </w:r>
    </w:p>
  </w:endnote>
  <w:endnote w:type="continuationNotice" w:id="1">
    <w:p w14:paraId="5243C176" w14:textId="77777777" w:rsidR="00416397" w:rsidRDefault="0041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6AC733C0" w14:textId="3690A66A" w:rsidR="007047B7" w:rsidRPr="00E961FD" w:rsidRDefault="00E961FD" w:rsidP="00583416">
            <w:pPr>
              <w:pStyle w:val="Voettekst"/>
              <w:rPr>
                <w:rFonts w:asciiTheme="minorHAnsi" w:hAnsiTheme="minorHAnsi" w:cstheme="minorHAnsi"/>
                <w:color w:val="0070C0"/>
                <w:lang w:val="en-AU"/>
              </w:rPr>
            </w:pPr>
            <w:r w:rsidRPr="00E961FD">
              <w:rPr>
                <w:rFonts w:asciiTheme="minorHAnsi" w:hAnsiTheme="minorHAnsi" w:cstheme="minorHAnsi"/>
                <w:color w:val="0070C0"/>
                <w:lang w:val="en-AU"/>
              </w:rPr>
              <w:t>NBADOC P12-Security Baselines 7-9-2023</w:t>
            </w:r>
            <w:r w:rsidR="007047B7" w:rsidRPr="00E961FD">
              <w:rPr>
                <w:rFonts w:asciiTheme="minorHAnsi" w:hAnsiTheme="minorHAnsi" w:cstheme="minorHAnsi"/>
                <w:color w:val="0070C0"/>
                <w:lang w:val="en-AU"/>
              </w:rPr>
              <w:tab/>
            </w:r>
            <w:r w:rsidR="007047B7" w:rsidRPr="00E961FD">
              <w:rPr>
                <w:rFonts w:asciiTheme="minorHAnsi" w:hAnsiTheme="minorHAnsi" w:cstheme="minorHAnsi"/>
                <w:color w:val="0070C0"/>
                <w:lang w:val="en-AU"/>
              </w:rPr>
              <w:tab/>
              <w:t xml:space="preserve">Pagina </w:t>
            </w:r>
            <w:r w:rsidR="007047B7" w:rsidRPr="004D2539">
              <w:rPr>
                <w:rFonts w:asciiTheme="minorHAnsi" w:hAnsiTheme="minorHAnsi" w:cstheme="minorHAnsi"/>
                <w:b/>
                <w:bCs/>
                <w:color w:val="0070C0"/>
                <w:sz w:val="24"/>
                <w:szCs w:val="24"/>
              </w:rPr>
              <w:fldChar w:fldCharType="begin"/>
            </w:r>
            <w:r w:rsidR="007047B7" w:rsidRPr="00E961FD">
              <w:rPr>
                <w:rFonts w:asciiTheme="minorHAnsi" w:hAnsiTheme="minorHAnsi" w:cstheme="minorHAnsi"/>
                <w:b/>
                <w:bCs/>
                <w:color w:val="0070C0"/>
                <w:lang w:val="en-AU"/>
              </w:rPr>
              <w:instrText>PAGE</w:instrText>
            </w:r>
            <w:r w:rsidR="007047B7" w:rsidRPr="004D2539">
              <w:rPr>
                <w:rFonts w:asciiTheme="minorHAnsi" w:hAnsiTheme="minorHAnsi" w:cstheme="minorHAnsi"/>
                <w:b/>
                <w:bCs/>
                <w:color w:val="0070C0"/>
                <w:sz w:val="24"/>
                <w:szCs w:val="24"/>
              </w:rPr>
              <w:fldChar w:fldCharType="separate"/>
            </w:r>
            <w:r w:rsidR="007047B7" w:rsidRPr="00E961FD">
              <w:rPr>
                <w:rFonts w:asciiTheme="minorHAnsi" w:hAnsiTheme="minorHAnsi" w:cstheme="minorHAnsi"/>
                <w:b/>
                <w:bCs/>
                <w:noProof/>
                <w:color w:val="0070C0"/>
                <w:lang w:val="en-AU"/>
              </w:rPr>
              <w:t>14</w:t>
            </w:r>
            <w:r w:rsidR="007047B7" w:rsidRPr="004D2539">
              <w:rPr>
                <w:rFonts w:asciiTheme="minorHAnsi" w:hAnsiTheme="minorHAnsi" w:cstheme="minorHAnsi"/>
                <w:b/>
                <w:bCs/>
                <w:color w:val="0070C0"/>
                <w:sz w:val="24"/>
                <w:szCs w:val="24"/>
              </w:rPr>
              <w:fldChar w:fldCharType="end"/>
            </w:r>
            <w:r w:rsidR="007047B7" w:rsidRPr="00E961FD">
              <w:rPr>
                <w:rFonts w:asciiTheme="minorHAnsi" w:hAnsiTheme="minorHAnsi" w:cstheme="minorHAnsi"/>
                <w:color w:val="0070C0"/>
                <w:lang w:val="en-AU"/>
              </w:rPr>
              <w:t xml:space="preserve"> van </w:t>
            </w:r>
            <w:r w:rsidR="007047B7" w:rsidRPr="004D2539">
              <w:rPr>
                <w:rFonts w:asciiTheme="minorHAnsi" w:hAnsiTheme="minorHAnsi" w:cstheme="minorHAnsi"/>
                <w:b/>
                <w:bCs/>
                <w:color w:val="0070C0"/>
                <w:sz w:val="24"/>
                <w:szCs w:val="24"/>
              </w:rPr>
              <w:fldChar w:fldCharType="begin"/>
            </w:r>
            <w:r w:rsidR="007047B7" w:rsidRPr="00E961FD">
              <w:rPr>
                <w:rFonts w:asciiTheme="minorHAnsi" w:hAnsiTheme="minorHAnsi" w:cstheme="minorHAnsi"/>
                <w:b/>
                <w:bCs/>
                <w:color w:val="0070C0"/>
                <w:lang w:val="en-AU"/>
              </w:rPr>
              <w:instrText>NUMPAGES</w:instrText>
            </w:r>
            <w:r w:rsidR="007047B7" w:rsidRPr="004D2539">
              <w:rPr>
                <w:rFonts w:asciiTheme="minorHAnsi" w:hAnsiTheme="minorHAnsi" w:cstheme="minorHAnsi"/>
                <w:b/>
                <w:bCs/>
                <w:color w:val="0070C0"/>
                <w:sz w:val="24"/>
                <w:szCs w:val="24"/>
              </w:rPr>
              <w:fldChar w:fldCharType="separate"/>
            </w:r>
            <w:r w:rsidR="007047B7" w:rsidRPr="00E961FD">
              <w:rPr>
                <w:rFonts w:asciiTheme="minorHAnsi" w:hAnsiTheme="minorHAnsi" w:cstheme="minorHAnsi"/>
                <w:b/>
                <w:bCs/>
                <w:noProof/>
                <w:color w:val="0070C0"/>
                <w:lang w:val="en-AU"/>
              </w:rPr>
              <w:t>14</w:t>
            </w:r>
            <w:r w:rsidR="007047B7" w:rsidRPr="004D2539">
              <w:rPr>
                <w:rFonts w:asciiTheme="minorHAnsi" w:hAnsiTheme="minorHAnsi" w:cstheme="minorHAnsi"/>
                <w:b/>
                <w:bCs/>
                <w:color w:val="0070C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0173" w14:textId="77777777" w:rsidR="00416397" w:rsidRDefault="00416397" w:rsidP="0003449B">
      <w:r>
        <w:separator/>
      </w:r>
    </w:p>
  </w:footnote>
  <w:footnote w:type="continuationSeparator" w:id="0">
    <w:p w14:paraId="717857F1" w14:textId="77777777" w:rsidR="00416397" w:rsidRDefault="00416397" w:rsidP="0003449B">
      <w:r>
        <w:continuationSeparator/>
      </w:r>
    </w:p>
  </w:footnote>
  <w:footnote w:type="continuationNotice" w:id="1">
    <w:p w14:paraId="1B3DE185" w14:textId="77777777" w:rsidR="00416397" w:rsidRDefault="00416397"/>
  </w:footnote>
  <w:footnote w:id="2">
    <w:p w14:paraId="7392CFA2" w14:textId="226D90B0" w:rsidR="00666325" w:rsidRDefault="00666325">
      <w:pPr>
        <w:pStyle w:val="Voetnoottekst"/>
      </w:pPr>
      <w:r>
        <w:rPr>
          <w:rStyle w:val="Voetnootmarkering"/>
        </w:rPr>
        <w:footnoteRef/>
      </w:r>
      <w:r>
        <w:t xml:space="preserve"> Bron: SURF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6DDEBBA4" w:rsidR="007047B7" w:rsidRPr="00FD04E3" w:rsidRDefault="00544B06" w:rsidP="00E34F54">
    <w:pPr>
      <w:pStyle w:val="Koptekst"/>
      <w:tabs>
        <w:tab w:val="clear" w:pos="4536"/>
        <w:tab w:val="left" w:pos="2370"/>
        <w:tab w:val="left" w:pos="3544"/>
        <w:tab w:val="center" w:pos="4395"/>
        <w:tab w:val="right" w:pos="6156"/>
      </w:tabs>
      <w:ind w:firstLine="2268"/>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0288" behindDoc="0" locked="0" layoutInCell="1" allowOverlap="1" wp14:anchorId="2C8D6462" wp14:editId="6F53538B">
          <wp:simplePos x="0" y="0"/>
          <wp:positionH relativeFrom="margin">
            <wp:posOffset>5781040</wp:posOffset>
          </wp:positionH>
          <wp:positionV relativeFrom="paragraph">
            <wp:posOffset>-132715</wp:posOffset>
          </wp:positionV>
          <wp:extent cx="568325" cy="489585"/>
          <wp:effectExtent l="0" t="0" r="0" b="5715"/>
          <wp:wrapThrough wrapText="bothSides">
            <wp:wrapPolygon edited="0">
              <wp:start x="1448" y="0"/>
              <wp:lineTo x="724" y="21012"/>
              <wp:lineTo x="20273" y="21012"/>
              <wp:lineTo x="19549" y="0"/>
              <wp:lineTo x="1448" y="0"/>
            </wp:wrapPolygon>
          </wp:wrapThrough>
          <wp:docPr id="8" name="Afbeelding 8" descr="Afbeelding met groen, Rechthoek,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groen, Rechthoek, schermopname,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489585"/>
                  </a:xfrm>
                  <a:prstGeom prst="rect">
                    <a:avLst/>
                  </a:prstGeom>
                  <a:noFill/>
                </pic:spPr>
              </pic:pic>
            </a:graphicData>
          </a:graphic>
          <wp14:sizeRelH relativeFrom="page">
            <wp14:pctWidth>0</wp14:pctWidth>
          </wp14:sizeRelH>
          <wp14:sizeRelV relativeFrom="page">
            <wp14:pctHeight>0</wp14:pctHeight>
          </wp14:sizeRelV>
        </wp:anchor>
      </w:drawing>
    </w:r>
    <w:r w:rsidR="006436D8">
      <w:rPr>
        <w:rFonts w:asciiTheme="minorHAnsi" w:hAnsiTheme="minorHAnsi" w:cstheme="minorBidi"/>
        <w:b/>
        <w:bCs/>
        <w:noProof/>
        <w:color w:val="0070C0"/>
        <w:sz w:val="32"/>
        <w:szCs w:val="32"/>
        <w:lang w:eastAsia="nl-NL"/>
      </w:rPr>
      <w:drawing>
        <wp:anchor distT="0" distB="0" distL="114300" distR="114300" simplePos="0" relativeHeight="251659264" behindDoc="0" locked="0" layoutInCell="1" allowOverlap="1" wp14:anchorId="08D4E1DB" wp14:editId="072E09AC">
          <wp:simplePos x="0" y="0"/>
          <wp:positionH relativeFrom="column">
            <wp:posOffset>-4445</wp:posOffset>
          </wp:positionH>
          <wp:positionV relativeFrom="paragraph">
            <wp:posOffset>-107315</wp:posOffset>
          </wp:positionV>
          <wp:extent cx="1987550" cy="389890"/>
          <wp:effectExtent l="0" t="0" r="0" b="0"/>
          <wp:wrapThrough wrapText="bothSides">
            <wp:wrapPolygon edited="0">
              <wp:start x="0" y="0"/>
              <wp:lineTo x="0" y="20052"/>
              <wp:lineTo x="21324" y="20052"/>
              <wp:lineTo x="21324"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sidR="00E34F54">
      <w:rPr>
        <w:rFonts w:asciiTheme="minorHAnsi" w:hAnsiTheme="minorHAnsi" w:cstheme="minorBidi"/>
        <w:b/>
        <w:bCs/>
        <w:noProof/>
        <w:color w:val="0070C0"/>
        <w:sz w:val="32"/>
        <w:szCs w:val="32"/>
        <w:lang w:eastAsia="nl-NL"/>
      </w:rPr>
      <w:t xml:space="preserve"> </w:t>
    </w:r>
    <w:r>
      <w:rPr>
        <w:rFonts w:asciiTheme="minorHAnsi" w:hAnsiTheme="minorHAnsi" w:cstheme="minorBidi"/>
        <w:b/>
        <w:bCs/>
        <w:noProof/>
        <w:color w:val="0070C0"/>
        <w:sz w:val="32"/>
        <w:szCs w:val="32"/>
        <w:lang w:eastAsia="nl-NL"/>
      </w:rPr>
      <w:t xml:space="preserve">       </w:t>
    </w:r>
    <w:r w:rsidR="00E34F54">
      <w:rPr>
        <w:rFonts w:asciiTheme="minorHAnsi" w:hAnsiTheme="minorHAnsi" w:cstheme="minorBidi"/>
        <w:b/>
        <w:bCs/>
        <w:noProof/>
        <w:color w:val="0070C0"/>
        <w:sz w:val="32"/>
        <w:szCs w:val="32"/>
        <w:lang w:eastAsia="nl-NL"/>
      </w:rPr>
      <w:t xml:space="preserve"> Security Baselines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80A"/>
    <w:multiLevelType w:val="hybridMultilevel"/>
    <w:tmpl w:val="FB9EA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6E38E6"/>
    <w:multiLevelType w:val="hybridMultilevel"/>
    <w:tmpl w:val="2CC05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1">
    <w:nsid w:val="03B600F6"/>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44F01"/>
    <w:multiLevelType w:val="hybridMultilevel"/>
    <w:tmpl w:val="20189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723F05"/>
    <w:multiLevelType w:val="hybridMultilevel"/>
    <w:tmpl w:val="B8EE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F417E1"/>
    <w:multiLevelType w:val="hybridMultilevel"/>
    <w:tmpl w:val="833AE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11A91"/>
    <w:multiLevelType w:val="hybridMultilevel"/>
    <w:tmpl w:val="DC983DA8"/>
    <w:lvl w:ilvl="0" w:tplc="276E2E7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155B17"/>
    <w:multiLevelType w:val="hybridMultilevel"/>
    <w:tmpl w:val="92AE8F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1">
    <w:nsid w:val="0FB25B9E"/>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BD7B01"/>
    <w:multiLevelType w:val="hybridMultilevel"/>
    <w:tmpl w:val="4B489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1">
    <w:nsid w:val="14DB49E3"/>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46409F"/>
    <w:multiLevelType w:val="hybridMultilevel"/>
    <w:tmpl w:val="ACA6D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1">
    <w:nsid w:val="17287C37"/>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DD1B0D"/>
    <w:multiLevelType w:val="hybridMultilevel"/>
    <w:tmpl w:val="375AE8A8"/>
    <w:lvl w:ilvl="0" w:tplc="04130017">
      <w:start w:val="1"/>
      <w:numFmt w:val="lowerLetter"/>
      <w:lvlText w:val="%1)"/>
      <w:lvlJc w:val="left"/>
      <w:pPr>
        <w:ind w:left="1004" w:hanging="360"/>
      </w:pPr>
    </w:lvl>
    <w:lvl w:ilvl="1" w:tplc="FF7CDCBC">
      <w:start w:val="1"/>
      <w:numFmt w:val="decimal"/>
      <w:lvlText w:val="%2."/>
      <w:lvlJc w:val="left"/>
      <w:pPr>
        <w:ind w:left="1724" w:hanging="360"/>
      </w:pPr>
      <w:rPr>
        <w:rFonts w:hint="default"/>
      </w:r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4" w15:restartNumberingAfterBreak="0">
    <w:nsid w:val="1DB140CF"/>
    <w:multiLevelType w:val="multilevel"/>
    <w:tmpl w:val="F73C803A"/>
    <w:lvl w:ilvl="0">
      <w:start w:val="1"/>
      <w:numFmt w:val="decimal"/>
      <w:lvlText w:val="%1."/>
      <w:lvlJc w:val="left"/>
      <w:pPr>
        <w:ind w:left="2062"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190EA2"/>
    <w:multiLevelType w:val="hybridMultilevel"/>
    <w:tmpl w:val="43906AB2"/>
    <w:lvl w:ilvl="0" w:tplc="E3689BB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2525910"/>
    <w:multiLevelType w:val="hybridMultilevel"/>
    <w:tmpl w:val="F09416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847689C"/>
    <w:multiLevelType w:val="hybridMultilevel"/>
    <w:tmpl w:val="A2541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78373F"/>
    <w:multiLevelType w:val="hybridMultilevel"/>
    <w:tmpl w:val="A1FCA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E2E440E"/>
    <w:multiLevelType w:val="hybridMultilevel"/>
    <w:tmpl w:val="3B36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092676"/>
    <w:multiLevelType w:val="hybridMultilevel"/>
    <w:tmpl w:val="53AA1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1">
    <w:nsid w:val="385E2C1D"/>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7F3449"/>
    <w:multiLevelType w:val="hybridMultilevel"/>
    <w:tmpl w:val="97401342"/>
    <w:lvl w:ilvl="0" w:tplc="276E2E7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517BFE"/>
    <w:multiLevelType w:val="hybridMultilevel"/>
    <w:tmpl w:val="1074B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C80A06"/>
    <w:multiLevelType w:val="hybridMultilevel"/>
    <w:tmpl w:val="8BD4E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1">
    <w:nsid w:val="47F7161A"/>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CD6B45"/>
    <w:multiLevelType w:val="hybridMultilevel"/>
    <w:tmpl w:val="148CA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400679"/>
    <w:multiLevelType w:val="hybridMultilevel"/>
    <w:tmpl w:val="DA26A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A40302"/>
    <w:multiLevelType w:val="hybridMultilevel"/>
    <w:tmpl w:val="1EB8B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4D562F3E"/>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8669B8"/>
    <w:multiLevelType w:val="hybridMultilevel"/>
    <w:tmpl w:val="28FEE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BC665D"/>
    <w:multiLevelType w:val="hybridMultilevel"/>
    <w:tmpl w:val="84868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C07FB0"/>
    <w:multiLevelType w:val="hybridMultilevel"/>
    <w:tmpl w:val="BF04805C"/>
    <w:lvl w:ilvl="0" w:tplc="04130001">
      <w:start w:val="1"/>
      <w:numFmt w:val="bullet"/>
      <w:lvlText w:val=""/>
      <w:lvlJc w:val="left"/>
      <w:pPr>
        <w:ind w:left="2988" w:hanging="360"/>
      </w:pPr>
      <w:rPr>
        <w:rFonts w:ascii="Symbol" w:hAnsi="Symbol" w:hint="default"/>
      </w:rPr>
    </w:lvl>
    <w:lvl w:ilvl="1" w:tplc="04130003">
      <w:start w:val="1"/>
      <w:numFmt w:val="bullet"/>
      <w:lvlText w:val="o"/>
      <w:lvlJc w:val="left"/>
      <w:pPr>
        <w:ind w:left="3708" w:hanging="360"/>
      </w:pPr>
      <w:rPr>
        <w:rFonts w:ascii="Courier New" w:hAnsi="Courier New" w:cs="Courier New" w:hint="default"/>
      </w:rPr>
    </w:lvl>
    <w:lvl w:ilvl="2" w:tplc="04130005" w:tentative="1">
      <w:start w:val="1"/>
      <w:numFmt w:val="bullet"/>
      <w:lvlText w:val=""/>
      <w:lvlJc w:val="left"/>
      <w:pPr>
        <w:ind w:left="4428" w:hanging="360"/>
      </w:pPr>
      <w:rPr>
        <w:rFonts w:ascii="Wingdings" w:hAnsi="Wingdings" w:hint="default"/>
      </w:rPr>
    </w:lvl>
    <w:lvl w:ilvl="3" w:tplc="04130001" w:tentative="1">
      <w:start w:val="1"/>
      <w:numFmt w:val="bullet"/>
      <w:lvlText w:val=""/>
      <w:lvlJc w:val="left"/>
      <w:pPr>
        <w:ind w:left="5148" w:hanging="360"/>
      </w:pPr>
      <w:rPr>
        <w:rFonts w:ascii="Symbol" w:hAnsi="Symbol" w:hint="default"/>
      </w:rPr>
    </w:lvl>
    <w:lvl w:ilvl="4" w:tplc="04130003" w:tentative="1">
      <w:start w:val="1"/>
      <w:numFmt w:val="bullet"/>
      <w:lvlText w:val="o"/>
      <w:lvlJc w:val="left"/>
      <w:pPr>
        <w:ind w:left="5868" w:hanging="360"/>
      </w:pPr>
      <w:rPr>
        <w:rFonts w:ascii="Courier New" w:hAnsi="Courier New" w:cs="Courier New" w:hint="default"/>
      </w:rPr>
    </w:lvl>
    <w:lvl w:ilvl="5" w:tplc="04130005" w:tentative="1">
      <w:start w:val="1"/>
      <w:numFmt w:val="bullet"/>
      <w:lvlText w:val=""/>
      <w:lvlJc w:val="left"/>
      <w:pPr>
        <w:ind w:left="6588" w:hanging="360"/>
      </w:pPr>
      <w:rPr>
        <w:rFonts w:ascii="Wingdings" w:hAnsi="Wingdings" w:hint="default"/>
      </w:rPr>
    </w:lvl>
    <w:lvl w:ilvl="6" w:tplc="04130001" w:tentative="1">
      <w:start w:val="1"/>
      <w:numFmt w:val="bullet"/>
      <w:lvlText w:val=""/>
      <w:lvlJc w:val="left"/>
      <w:pPr>
        <w:ind w:left="7308" w:hanging="360"/>
      </w:pPr>
      <w:rPr>
        <w:rFonts w:ascii="Symbol" w:hAnsi="Symbol" w:hint="default"/>
      </w:rPr>
    </w:lvl>
    <w:lvl w:ilvl="7" w:tplc="04130003" w:tentative="1">
      <w:start w:val="1"/>
      <w:numFmt w:val="bullet"/>
      <w:lvlText w:val="o"/>
      <w:lvlJc w:val="left"/>
      <w:pPr>
        <w:ind w:left="8028" w:hanging="360"/>
      </w:pPr>
      <w:rPr>
        <w:rFonts w:ascii="Courier New" w:hAnsi="Courier New" w:cs="Courier New" w:hint="default"/>
      </w:rPr>
    </w:lvl>
    <w:lvl w:ilvl="8" w:tplc="04130005" w:tentative="1">
      <w:start w:val="1"/>
      <w:numFmt w:val="bullet"/>
      <w:lvlText w:val=""/>
      <w:lvlJc w:val="left"/>
      <w:pPr>
        <w:ind w:left="8748" w:hanging="360"/>
      </w:pPr>
      <w:rPr>
        <w:rFonts w:ascii="Wingdings" w:hAnsi="Wingdings" w:hint="default"/>
      </w:rPr>
    </w:lvl>
  </w:abstractNum>
  <w:abstractNum w:abstractNumId="33" w15:restartNumberingAfterBreak="0">
    <w:nsid w:val="54DE2047"/>
    <w:multiLevelType w:val="hybridMultilevel"/>
    <w:tmpl w:val="98D82698"/>
    <w:lvl w:ilvl="0" w:tplc="3EF21A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1">
    <w:nsid w:val="582C4A26"/>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F717E0"/>
    <w:multiLevelType w:val="hybridMultilevel"/>
    <w:tmpl w:val="58AC2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1AF5094"/>
    <w:multiLevelType w:val="hybridMultilevel"/>
    <w:tmpl w:val="225A2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D455FF"/>
    <w:multiLevelType w:val="hybridMultilevel"/>
    <w:tmpl w:val="B60EEB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1">
    <w:nsid w:val="65E559FB"/>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64771B2"/>
    <w:multiLevelType w:val="hybridMultilevel"/>
    <w:tmpl w:val="F4283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4E7063"/>
    <w:multiLevelType w:val="hybridMultilevel"/>
    <w:tmpl w:val="A45AB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2" w15:restartNumberingAfterBreak="0">
    <w:nsid w:val="6F985D30"/>
    <w:multiLevelType w:val="hybridMultilevel"/>
    <w:tmpl w:val="954054E6"/>
    <w:lvl w:ilvl="0" w:tplc="276E2E7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1">
    <w:nsid w:val="77F40B01"/>
    <w:multiLevelType w:val="hybridMultilevel"/>
    <w:tmpl w:val="C2D62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0067878">
    <w:abstractNumId w:val="41"/>
  </w:num>
  <w:num w:numId="2" w16cid:durableId="246237034">
    <w:abstractNumId w:val="14"/>
  </w:num>
  <w:num w:numId="3" w16cid:durableId="1903325439">
    <w:abstractNumId w:val="24"/>
  </w:num>
  <w:num w:numId="4" w16cid:durableId="625894555">
    <w:abstractNumId w:val="17"/>
  </w:num>
  <w:num w:numId="5" w16cid:durableId="12536613">
    <w:abstractNumId w:val="7"/>
  </w:num>
  <w:num w:numId="6" w16cid:durableId="938638432">
    <w:abstractNumId w:val="26"/>
  </w:num>
  <w:num w:numId="7" w16cid:durableId="1823426332">
    <w:abstractNumId w:val="27"/>
  </w:num>
  <w:num w:numId="8" w16cid:durableId="1705709257">
    <w:abstractNumId w:val="37"/>
  </w:num>
  <w:num w:numId="9" w16cid:durableId="262108874">
    <w:abstractNumId w:val="0"/>
  </w:num>
  <w:num w:numId="10" w16cid:durableId="1606578982">
    <w:abstractNumId w:val="9"/>
  </w:num>
  <w:num w:numId="11" w16cid:durableId="1280986981">
    <w:abstractNumId w:val="15"/>
  </w:num>
  <w:num w:numId="12" w16cid:durableId="660543501">
    <w:abstractNumId w:val="33"/>
  </w:num>
  <w:num w:numId="13" w16cid:durableId="1316376754">
    <w:abstractNumId w:val="39"/>
  </w:num>
  <w:num w:numId="14" w16cid:durableId="83306695">
    <w:abstractNumId w:val="20"/>
  </w:num>
  <w:num w:numId="15" w16cid:durableId="347946990">
    <w:abstractNumId w:val="3"/>
  </w:num>
  <w:num w:numId="16" w16cid:durableId="1312755242">
    <w:abstractNumId w:val="16"/>
  </w:num>
  <w:num w:numId="17" w16cid:durableId="1983727118">
    <w:abstractNumId w:val="31"/>
  </w:num>
  <w:num w:numId="18" w16cid:durableId="897980332">
    <w:abstractNumId w:val="32"/>
  </w:num>
  <w:num w:numId="19" w16cid:durableId="1705515650">
    <w:abstractNumId w:val="11"/>
  </w:num>
  <w:num w:numId="20" w16cid:durableId="1713845935">
    <w:abstractNumId w:val="1"/>
  </w:num>
  <w:num w:numId="21" w16cid:durableId="1435401480">
    <w:abstractNumId w:val="36"/>
  </w:num>
  <w:num w:numId="22" w16cid:durableId="1511019484">
    <w:abstractNumId w:val="35"/>
  </w:num>
  <w:num w:numId="23" w16cid:durableId="1152330977">
    <w:abstractNumId w:val="40"/>
  </w:num>
  <w:num w:numId="24" w16cid:durableId="1585260836">
    <w:abstractNumId w:val="5"/>
  </w:num>
  <w:num w:numId="25" w16cid:durableId="877157707">
    <w:abstractNumId w:val="28"/>
  </w:num>
  <w:num w:numId="26" w16cid:durableId="524711260">
    <w:abstractNumId w:val="19"/>
  </w:num>
  <w:num w:numId="27" w16cid:durableId="585505454">
    <w:abstractNumId w:val="10"/>
  </w:num>
  <w:num w:numId="28" w16cid:durableId="1035078288">
    <w:abstractNumId w:val="8"/>
  </w:num>
  <w:num w:numId="29" w16cid:durableId="1493839181">
    <w:abstractNumId w:val="2"/>
  </w:num>
  <w:num w:numId="30" w16cid:durableId="697122848">
    <w:abstractNumId w:val="12"/>
  </w:num>
  <w:num w:numId="31" w16cid:durableId="1346404084">
    <w:abstractNumId w:val="29"/>
  </w:num>
  <w:num w:numId="32" w16cid:durableId="1740597480">
    <w:abstractNumId w:val="18"/>
  </w:num>
  <w:num w:numId="33" w16cid:durableId="943615598">
    <w:abstractNumId w:val="13"/>
  </w:num>
  <w:num w:numId="34" w16cid:durableId="1103109654">
    <w:abstractNumId w:val="4"/>
  </w:num>
  <w:num w:numId="35" w16cid:durableId="1452047740">
    <w:abstractNumId w:val="22"/>
  </w:num>
  <w:num w:numId="36" w16cid:durableId="1238855975">
    <w:abstractNumId w:val="6"/>
  </w:num>
  <w:num w:numId="37" w16cid:durableId="740056108">
    <w:abstractNumId w:val="42"/>
  </w:num>
  <w:num w:numId="38" w16cid:durableId="1551916442">
    <w:abstractNumId w:val="23"/>
  </w:num>
  <w:num w:numId="39" w16cid:durableId="444623060">
    <w:abstractNumId w:val="30"/>
  </w:num>
  <w:num w:numId="40" w16cid:durableId="756901896">
    <w:abstractNumId w:val="21"/>
  </w:num>
  <w:num w:numId="41" w16cid:durableId="1006707409">
    <w:abstractNumId w:val="25"/>
  </w:num>
  <w:num w:numId="42" w16cid:durableId="1564367365">
    <w:abstractNumId w:val="43"/>
  </w:num>
  <w:num w:numId="43" w16cid:durableId="1091002678">
    <w:abstractNumId w:val="38"/>
  </w:num>
  <w:num w:numId="44" w16cid:durableId="84243060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76ACF"/>
    <w:rsid w:val="000810BD"/>
    <w:rsid w:val="00081BF1"/>
    <w:rsid w:val="00081C70"/>
    <w:rsid w:val="000874BE"/>
    <w:rsid w:val="00090030"/>
    <w:rsid w:val="00091A0B"/>
    <w:rsid w:val="00094058"/>
    <w:rsid w:val="000A0596"/>
    <w:rsid w:val="000A259A"/>
    <w:rsid w:val="000A66D8"/>
    <w:rsid w:val="000B5DE2"/>
    <w:rsid w:val="000B6A11"/>
    <w:rsid w:val="000C1A96"/>
    <w:rsid w:val="000C757C"/>
    <w:rsid w:val="000D04C6"/>
    <w:rsid w:val="000D1477"/>
    <w:rsid w:val="000D33A9"/>
    <w:rsid w:val="000D3B3C"/>
    <w:rsid w:val="000D3F13"/>
    <w:rsid w:val="000D5B42"/>
    <w:rsid w:val="000D6054"/>
    <w:rsid w:val="000E3FA1"/>
    <w:rsid w:val="000E4D0E"/>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5695"/>
    <w:rsid w:val="00146377"/>
    <w:rsid w:val="00150135"/>
    <w:rsid w:val="001505A1"/>
    <w:rsid w:val="001526B4"/>
    <w:rsid w:val="00152CCA"/>
    <w:rsid w:val="0015571B"/>
    <w:rsid w:val="001558BF"/>
    <w:rsid w:val="00156B0A"/>
    <w:rsid w:val="00157A23"/>
    <w:rsid w:val="0016270B"/>
    <w:rsid w:val="00163699"/>
    <w:rsid w:val="00164498"/>
    <w:rsid w:val="00165A63"/>
    <w:rsid w:val="00165E09"/>
    <w:rsid w:val="00165F5D"/>
    <w:rsid w:val="001661A4"/>
    <w:rsid w:val="00167410"/>
    <w:rsid w:val="001702E3"/>
    <w:rsid w:val="00171262"/>
    <w:rsid w:val="00171815"/>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4F73"/>
    <w:rsid w:val="001A5D2B"/>
    <w:rsid w:val="001A612A"/>
    <w:rsid w:val="001A7230"/>
    <w:rsid w:val="001B0649"/>
    <w:rsid w:val="001B1D70"/>
    <w:rsid w:val="001B22CB"/>
    <w:rsid w:val="001B2B65"/>
    <w:rsid w:val="001B363D"/>
    <w:rsid w:val="001B509E"/>
    <w:rsid w:val="001B5D63"/>
    <w:rsid w:val="001B60DD"/>
    <w:rsid w:val="001B65CA"/>
    <w:rsid w:val="001B7977"/>
    <w:rsid w:val="001C1226"/>
    <w:rsid w:val="001C393C"/>
    <w:rsid w:val="001C3A0C"/>
    <w:rsid w:val="001C47CB"/>
    <w:rsid w:val="001C4CC1"/>
    <w:rsid w:val="001C613A"/>
    <w:rsid w:val="001C6197"/>
    <w:rsid w:val="001C7807"/>
    <w:rsid w:val="001D5A38"/>
    <w:rsid w:val="001D637B"/>
    <w:rsid w:val="001D73D0"/>
    <w:rsid w:val="001E11DB"/>
    <w:rsid w:val="001E16E0"/>
    <w:rsid w:val="001E33EB"/>
    <w:rsid w:val="001E3578"/>
    <w:rsid w:val="001E4C58"/>
    <w:rsid w:val="001F24A8"/>
    <w:rsid w:val="001F2678"/>
    <w:rsid w:val="001F2AB9"/>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5F7C"/>
    <w:rsid w:val="0026381F"/>
    <w:rsid w:val="0026563A"/>
    <w:rsid w:val="00265B52"/>
    <w:rsid w:val="00265DA2"/>
    <w:rsid w:val="00267450"/>
    <w:rsid w:val="002741C1"/>
    <w:rsid w:val="002746ED"/>
    <w:rsid w:val="0027583A"/>
    <w:rsid w:val="0027747E"/>
    <w:rsid w:val="00277C14"/>
    <w:rsid w:val="002803C2"/>
    <w:rsid w:val="002811C8"/>
    <w:rsid w:val="00282A7A"/>
    <w:rsid w:val="00284576"/>
    <w:rsid w:val="002848AB"/>
    <w:rsid w:val="0028752D"/>
    <w:rsid w:val="00290EB7"/>
    <w:rsid w:val="00293BC4"/>
    <w:rsid w:val="00295410"/>
    <w:rsid w:val="002970AC"/>
    <w:rsid w:val="002A11A8"/>
    <w:rsid w:val="002A2FF1"/>
    <w:rsid w:val="002A6BBE"/>
    <w:rsid w:val="002B2BCC"/>
    <w:rsid w:val="002B3702"/>
    <w:rsid w:val="002B7CFB"/>
    <w:rsid w:val="002C1678"/>
    <w:rsid w:val="002C474D"/>
    <w:rsid w:val="002C7385"/>
    <w:rsid w:val="002D05CD"/>
    <w:rsid w:val="002D13AC"/>
    <w:rsid w:val="002D1DB6"/>
    <w:rsid w:val="002D2E16"/>
    <w:rsid w:val="002D7044"/>
    <w:rsid w:val="002D70A1"/>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5FA6"/>
    <w:rsid w:val="00356BE0"/>
    <w:rsid w:val="00356C1C"/>
    <w:rsid w:val="0036053F"/>
    <w:rsid w:val="003610A3"/>
    <w:rsid w:val="003617C7"/>
    <w:rsid w:val="003714AA"/>
    <w:rsid w:val="00371CA8"/>
    <w:rsid w:val="003736F4"/>
    <w:rsid w:val="00374B81"/>
    <w:rsid w:val="00374D72"/>
    <w:rsid w:val="0037680F"/>
    <w:rsid w:val="00376C07"/>
    <w:rsid w:val="00377D9B"/>
    <w:rsid w:val="003806F5"/>
    <w:rsid w:val="003818AB"/>
    <w:rsid w:val="00381946"/>
    <w:rsid w:val="00381EC3"/>
    <w:rsid w:val="003822CB"/>
    <w:rsid w:val="00382BCF"/>
    <w:rsid w:val="0038540B"/>
    <w:rsid w:val="00390B12"/>
    <w:rsid w:val="00392772"/>
    <w:rsid w:val="00392832"/>
    <w:rsid w:val="003928B9"/>
    <w:rsid w:val="003936CA"/>
    <w:rsid w:val="00395694"/>
    <w:rsid w:val="003A2B7E"/>
    <w:rsid w:val="003A36DD"/>
    <w:rsid w:val="003A6690"/>
    <w:rsid w:val="003B2AF0"/>
    <w:rsid w:val="003B31ED"/>
    <w:rsid w:val="003B3287"/>
    <w:rsid w:val="003B37A6"/>
    <w:rsid w:val="003B47E9"/>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16397"/>
    <w:rsid w:val="00421F93"/>
    <w:rsid w:val="004243A2"/>
    <w:rsid w:val="004252DD"/>
    <w:rsid w:val="00425CC8"/>
    <w:rsid w:val="00426062"/>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DF2"/>
    <w:rsid w:val="004C003C"/>
    <w:rsid w:val="004C1580"/>
    <w:rsid w:val="004C4172"/>
    <w:rsid w:val="004C4487"/>
    <w:rsid w:val="004C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373B"/>
    <w:rsid w:val="004F4716"/>
    <w:rsid w:val="004F4B33"/>
    <w:rsid w:val="004F6348"/>
    <w:rsid w:val="004F709A"/>
    <w:rsid w:val="004F7C63"/>
    <w:rsid w:val="0050024D"/>
    <w:rsid w:val="005007C9"/>
    <w:rsid w:val="00507D42"/>
    <w:rsid w:val="00510695"/>
    <w:rsid w:val="00511D85"/>
    <w:rsid w:val="00511FB6"/>
    <w:rsid w:val="00512F47"/>
    <w:rsid w:val="00515E8B"/>
    <w:rsid w:val="0051656B"/>
    <w:rsid w:val="00517FDE"/>
    <w:rsid w:val="00520F31"/>
    <w:rsid w:val="00523145"/>
    <w:rsid w:val="00523734"/>
    <w:rsid w:val="0052471A"/>
    <w:rsid w:val="00525498"/>
    <w:rsid w:val="00525E4F"/>
    <w:rsid w:val="00526584"/>
    <w:rsid w:val="005274FE"/>
    <w:rsid w:val="00533C7F"/>
    <w:rsid w:val="00536212"/>
    <w:rsid w:val="00536F26"/>
    <w:rsid w:val="00537402"/>
    <w:rsid w:val="00540A8F"/>
    <w:rsid w:val="005411AB"/>
    <w:rsid w:val="0054383E"/>
    <w:rsid w:val="00544B06"/>
    <w:rsid w:val="005452B0"/>
    <w:rsid w:val="005467B9"/>
    <w:rsid w:val="005513E1"/>
    <w:rsid w:val="00552204"/>
    <w:rsid w:val="005527D7"/>
    <w:rsid w:val="0055287A"/>
    <w:rsid w:val="00554995"/>
    <w:rsid w:val="00555F1A"/>
    <w:rsid w:val="00560AC1"/>
    <w:rsid w:val="00560AFA"/>
    <w:rsid w:val="00565214"/>
    <w:rsid w:val="00566392"/>
    <w:rsid w:val="0057211E"/>
    <w:rsid w:val="00572EB1"/>
    <w:rsid w:val="00576000"/>
    <w:rsid w:val="00581620"/>
    <w:rsid w:val="005820A2"/>
    <w:rsid w:val="00583416"/>
    <w:rsid w:val="00583517"/>
    <w:rsid w:val="00585182"/>
    <w:rsid w:val="00586345"/>
    <w:rsid w:val="00586859"/>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4AFA"/>
    <w:rsid w:val="005B6516"/>
    <w:rsid w:val="005B6637"/>
    <w:rsid w:val="005B7D4B"/>
    <w:rsid w:val="005C0F13"/>
    <w:rsid w:val="005C251B"/>
    <w:rsid w:val="005C2777"/>
    <w:rsid w:val="005C351E"/>
    <w:rsid w:val="005C6824"/>
    <w:rsid w:val="005C7567"/>
    <w:rsid w:val="005D112C"/>
    <w:rsid w:val="005D3F48"/>
    <w:rsid w:val="005D436E"/>
    <w:rsid w:val="005D4E16"/>
    <w:rsid w:val="005D5F7F"/>
    <w:rsid w:val="005D63BC"/>
    <w:rsid w:val="005D6BEB"/>
    <w:rsid w:val="005D7481"/>
    <w:rsid w:val="005E1885"/>
    <w:rsid w:val="005E7B82"/>
    <w:rsid w:val="005F06A7"/>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36D8"/>
    <w:rsid w:val="006445C9"/>
    <w:rsid w:val="00645192"/>
    <w:rsid w:val="00647955"/>
    <w:rsid w:val="00647D84"/>
    <w:rsid w:val="00652A92"/>
    <w:rsid w:val="0065703C"/>
    <w:rsid w:val="0066147E"/>
    <w:rsid w:val="00663191"/>
    <w:rsid w:val="006644DF"/>
    <w:rsid w:val="00664E52"/>
    <w:rsid w:val="00666325"/>
    <w:rsid w:val="00666C24"/>
    <w:rsid w:val="00667B00"/>
    <w:rsid w:val="0067309E"/>
    <w:rsid w:val="00676BC1"/>
    <w:rsid w:val="00677766"/>
    <w:rsid w:val="0068316C"/>
    <w:rsid w:val="00685A2E"/>
    <w:rsid w:val="006918AB"/>
    <w:rsid w:val="00691D86"/>
    <w:rsid w:val="0069340D"/>
    <w:rsid w:val="006938FD"/>
    <w:rsid w:val="00694EFE"/>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D074D"/>
    <w:rsid w:val="006D1E03"/>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0503"/>
    <w:rsid w:val="0071298F"/>
    <w:rsid w:val="00717212"/>
    <w:rsid w:val="00717CDD"/>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7DA6"/>
    <w:rsid w:val="00747F29"/>
    <w:rsid w:val="00752496"/>
    <w:rsid w:val="007547F8"/>
    <w:rsid w:val="00756D3E"/>
    <w:rsid w:val="0076053A"/>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5D3"/>
    <w:rsid w:val="00790712"/>
    <w:rsid w:val="00790EC9"/>
    <w:rsid w:val="00792717"/>
    <w:rsid w:val="00796D24"/>
    <w:rsid w:val="007A10A1"/>
    <w:rsid w:val="007A10E9"/>
    <w:rsid w:val="007A19FC"/>
    <w:rsid w:val="007A2F84"/>
    <w:rsid w:val="007A4B98"/>
    <w:rsid w:val="007A54C0"/>
    <w:rsid w:val="007A5E4D"/>
    <w:rsid w:val="007A64C8"/>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4E85"/>
    <w:rsid w:val="00805238"/>
    <w:rsid w:val="00807756"/>
    <w:rsid w:val="00807E22"/>
    <w:rsid w:val="008129D1"/>
    <w:rsid w:val="00812E96"/>
    <w:rsid w:val="00813D99"/>
    <w:rsid w:val="00814424"/>
    <w:rsid w:val="00815143"/>
    <w:rsid w:val="00815816"/>
    <w:rsid w:val="00816E52"/>
    <w:rsid w:val="00821018"/>
    <w:rsid w:val="0082117C"/>
    <w:rsid w:val="00823FEC"/>
    <w:rsid w:val="00825005"/>
    <w:rsid w:val="0082757A"/>
    <w:rsid w:val="00831063"/>
    <w:rsid w:val="00832328"/>
    <w:rsid w:val="00832CF9"/>
    <w:rsid w:val="00835282"/>
    <w:rsid w:val="00837466"/>
    <w:rsid w:val="00837685"/>
    <w:rsid w:val="00837698"/>
    <w:rsid w:val="00840751"/>
    <w:rsid w:val="00841C3D"/>
    <w:rsid w:val="008428D1"/>
    <w:rsid w:val="00844E5B"/>
    <w:rsid w:val="008453AC"/>
    <w:rsid w:val="00846FFE"/>
    <w:rsid w:val="008518AD"/>
    <w:rsid w:val="00854E88"/>
    <w:rsid w:val="00860741"/>
    <w:rsid w:val="0086111A"/>
    <w:rsid w:val="0086248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A69A6"/>
    <w:rsid w:val="008A73A4"/>
    <w:rsid w:val="008B09DF"/>
    <w:rsid w:val="008B2062"/>
    <w:rsid w:val="008B281C"/>
    <w:rsid w:val="008B2DF1"/>
    <w:rsid w:val="008B760C"/>
    <w:rsid w:val="008C39A6"/>
    <w:rsid w:val="008C4194"/>
    <w:rsid w:val="008C41A4"/>
    <w:rsid w:val="008C60A9"/>
    <w:rsid w:val="008C7635"/>
    <w:rsid w:val="008D107D"/>
    <w:rsid w:val="008E0BB1"/>
    <w:rsid w:val="008E4371"/>
    <w:rsid w:val="008F026A"/>
    <w:rsid w:val="008F1A70"/>
    <w:rsid w:val="008F29FD"/>
    <w:rsid w:val="008F4EED"/>
    <w:rsid w:val="008F502C"/>
    <w:rsid w:val="008F5A24"/>
    <w:rsid w:val="008F6017"/>
    <w:rsid w:val="008F6500"/>
    <w:rsid w:val="008F7FC6"/>
    <w:rsid w:val="00900254"/>
    <w:rsid w:val="00904757"/>
    <w:rsid w:val="00907D10"/>
    <w:rsid w:val="00907FAC"/>
    <w:rsid w:val="00912158"/>
    <w:rsid w:val="009178B6"/>
    <w:rsid w:val="00917B56"/>
    <w:rsid w:val="00923035"/>
    <w:rsid w:val="00924540"/>
    <w:rsid w:val="00924E10"/>
    <w:rsid w:val="009339D3"/>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6FD3"/>
    <w:rsid w:val="0097056E"/>
    <w:rsid w:val="00973411"/>
    <w:rsid w:val="00980842"/>
    <w:rsid w:val="00980F2C"/>
    <w:rsid w:val="00981BC6"/>
    <w:rsid w:val="009821DA"/>
    <w:rsid w:val="00985F0E"/>
    <w:rsid w:val="00990E73"/>
    <w:rsid w:val="0099106C"/>
    <w:rsid w:val="00996DED"/>
    <w:rsid w:val="009A166A"/>
    <w:rsid w:val="009A1741"/>
    <w:rsid w:val="009A4C4E"/>
    <w:rsid w:val="009A59F0"/>
    <w:rsid w:val="009B063F"/>
    <w:rsid w:val="009B102C"/>
    <w:rsid w:val="009B1694"/>
    <w:rsid w:val="009B1F8E"/>
    <w:rsid w:val="009B49FC"/>
    <w:rsid w:val="009B63C1"/>
    <w:rsid w:val="009C0CC4"/>
    <w:rsid w:val="009C2B2C"/>
    <w:rsid w:val="009C5DD9"/>
    <w:rsid w:val="009C6789"/>
    <w:rsid w:val="009D7F5F"/>
    <w:rsid w:val="009E2A28"/>
    <w:rsid w:val="009F036E"/>
    <w:rsid w:val="009F03D6"/>
    <w:rsid w:val="009F11FA"/>
    <w:rsid w:val="009F15FF"/>
    <w:rsid w:val="009F362A"/>
    <w:rsid w:val="009F3B0B"/>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11C2"/>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FED"/>
    <w:rsid w:val="00A555D3"/>
    <w:rsid w:val="00A55E69"/>
    <w:rsid w:val="00A56322"/>
    <w:rsid w:val="00A56D2E"/>
    <w:rsid w:val="00A609F8"/>
    <w:rsid w:val="00A6232D"/>
    <w:rsid w:val="00A651AF"/>
    <w:rsid w:val="00A65D20"/>
    <w:rsid w:val="00A66095"/>
    <w:rsid w:val="00A66C28"/>
    <w:rsid w:val="00A675B3"/>
    <w:rsid w:val="00A67C35"/>
    <w:rsid w:val="00A73C36"/>
    <w:rsid w:val="00A74D2B"/>
    <w:rsid w:val="00A775CF"/>
    <w:rsid w:val="00A77785"/>
    <w:rsid w:val="00A83BF3"/>
    <w:rsid w:val="00A840E3"/>
    <w:rsid w:val="00A84144"/>
    <w:rsid w:val="00A842DD"/>
    <w:rsid w:val="00A91E02"/>
    <w:rsid w:val="00A95831"/>
    <w:rsid w:val="00A97F27"/>
    <w:rsid w:val="00AA36AF"/>
    <w:rsid w:val="00AA37A6"/>
    <w:rsid w:val="00AA4B04"/>
    <w:rsid w:val="00AA5B8F"/>
    <w:rsid w:val="00AA7298"/>
    <w:rsid w:val="00AB17F6"/>
    <w:rsid w:val="00AB1D90"/>
    <w:rsid w:val="00AB2B17"/>
    <w:rsid w:val="00AB448D"/>
    <w:rsid w:val="00AB5522"/>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5AFE"/>
    <w:rsid w:val="00AF6A60"/>
    <w:rsid w:val="00AF731C"/>
    <w:rsid w:val="00B02286"/>
    <w:rsid w:val="00B07777"/>
    <w:rsid w:val="00B07AC0"/>
    <w:rsid w:val="00B11B02"/>
    <w:rsid w:val="00B1219B"/>
    <w:rsid w:val="00B13BC5"/>
    <w:rsid w:val="00B1717F"/>
    <w:rsid w:val="00B21050"/>
    <w:rsid w:val="00B2290E"/>
    <w:rsid w:val="00B22F0F"/>
    <w:rsid w:val="00B2730A"/>
    <w:rsid w:val="00B27959"/>
    <w:rsid w:val="00B27D7B"/>
    <w:rsid w:val="00B3078B"/>
    <w:rsid w:val="00B329AF"/>
    <w:rsid w:val="00B33AC2"/>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20DF"/>
    <w:rsid w:val="00B8373B"/>
    <w:rsid w:val="00B85678"/>
    <w:rsid w:val="00B85FCB"/>
    <w:rsid w:val="00B86096"/>
    <w:rsid w:val="00B87E53"/>
    <w:rsid w:val="00B90F30"/>
    <w:rsid w:val="00B912AE"/>
    <w:rsid w:val="00B951F6"/>
    <w:rsid w:val="00B9655E"/>
    <w:rsid w:val="00BA0D26"/>
    <w:rsid w:val="00BA20FC"/>
    <w:rsid w:val="00BA388F"/>
    <w:rsid w:val="00BA45B1"/>
    <w:rsid w:val="00BA7957"/>
    <w:rsid w:val="00BB2BCD"/>
    <w:rsid w:val="00BB5585"/>
    <w:rsid w:val="00BB6250"/>
    <w:rsid w:val="00BB7758"/>
    <w:rsid w:val="00BB7885"/>
    <w:rsid w:val="00BC2DB2"/>
    <w:rsid w:val="00BC4901"/>
    <w:rsid w:val="00BC6A0F"/>
    <w:rsid w:val="00BC72BD"/>
    <w:rsid w:val="00BD180E"/>
    <w:rsid w:val="00BD6373"/>
    <w:rsid w:val="00BD6A9E"/>
    <w:rsid w:val="00BD7169"/>
    <w:rsid w:val="00BE0EE7"/>
    <w:rsid w:val="00BE58FB"/>
    <w:rsid w:val="00BE696A"/>
    <w:rsid w:val="00BE7988"/>
    <w:rsid w:val="00BF1CF0"/>
    <w:rsid w:val="00BF2C3D"/>
    <w:rsid w:val="00BF3B3E"/>
    <w:rsid w:val="00BF456C"/>
    <w:rsid w:val="00BF4C16"/>
    <w:rsid w:val="00BF6C0C"/>
    <w:rsid w:val="00C011D6"/>
    <w:rsid w:val="00C0132F"/>
    <w:rsid w:val="00C01C07"/>
    <w:rsid w:val="00C0280B"/>
    <w:rsid w:val="00C035A1"/>
    <w:rsid w:val="00C049D8"/>
    <w:rsid w:val="00C0587C"/>
    <w:rsid w:val="00C0716E"/>
    <w:rsid w:val="00C07A47"/>
    <w:rsid w:val="00C11A78"/>
    <w:rsid w:val="00C14054"/>
    <w:rsid w:val="00C174B1"/>
    <w:rsid w:val="00C17D52"/>
    <w:rsid w:val="00C2049C"/>
    <w:rsid w:val="00C22C7E"/>
    <w:rsid w:val="00C26CC6"/>
    <w:rsid w:val="00C30F1A"/>
    <w:rsid w:val="00C31586"/>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709C"/>
    <w:rsid w:val="00CA7630"/>
    <w:rsid w:val="00CB0F7B"/>
    <w:rsid w:val="00CB2355"/>
    <w:rsid w:val="00CB42C4"/>
    <w:rsid w:val="00CB74AF"/>
    <w:rsid w:val="00CC0814"/>
    <w:rsid w:val="00CC0F18"/>
    <w:rsid w:val="00CC1992"/>
    <w:rsid w:val="00CC222F"/>
    <w:rsid w:val="00CC4A54"/>
    <w:rsid w:val="00CC4E97"/>
    <w:rsid w:val="00CC5F1A"/>
    <w:rsid w:val="00CC787D"/>
    <w:rsid w:val="00CD1073"/>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4679"/>
    <w:rsid w:val="00D04785"/>
    <w:rsid w:val="00D05C86"/>
    <w:rsid w:val="00D070D7"/>
    <w:rsid w:val="00D11DD2"/>
    <w:rsid w:val="00D15159"/>
    <w:rsid w:val="00D16C7D"/>
    <w:rsid w:val="00D17E06"/>
    <w:rsid w:val="00D20833"/>
    <w:rsid w:val="00D20C5D"/>
    <w:rsid w:val="00D22E5B"/>
    <w:rsid w:val="00D2316A"/>
    <w:rsid w:val="00D239EA"/>
    <w:rsid w:val="00D23E94"/>
    <w:rsid w:val="00D258BA"/>
    <w:rsid w:val="00D26484"/>
    <w:rsid w:val="00D27961"/>
    <w:rsid w:val="00D30558"/>
    <w:rsid w:val="00D32209"/>
    <w:rsid w:val="00D32890"/>
    <w:rsid w:val="00D328A7"/>
    <w:rsid w:val="00D32F4B"/>
    <w:rsid w:val="00D33344"/>
    <w:rsid w:val="00D34255"/>
    <w:rsid w:val="00D3440E"/>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FCB"/>
    <w:rsid w:val="00D63D40"/>
    <w:rsid w:val="00D641EC"/>
    <w:rsid w:val="00D675F9"/>
    <w:rsid w:val="00D67972"/>
    <w:rsid w:val="00D707C1"/>
    <w:rsid w:val="00D708EC"/>
    <w:rsid w:val="00D72C76"/>
    <w:rsid w:val="00D73539"/>
    <w:rsid w:val="00D841F4"/>
    <w:rsid w:val="00D842CE"/>
    <w:rsid w:val="00D8536F"/>
    <w:rsid w:val="00D86F42"/>
    <w:rsid w:val="00D87411"/>
    <w:rsid w:val="00D8770B"/>
    <w:rsid w:val="00D87968"/>
    <w:rsid w:val="00D87ABB"/>
    <w:rsid w:val="00D9011B"/>
    <w:rsid w:val="00D90372"/>
    <w:rsid w:val="00D92B1C"/>
    <w:rsid w:val="00D932A7"/>
    <w:rsid w:val="00D9492F"/>
    <w:rsid w:val="00DA1420"/>
    <w:rsid w:val="00DA1574"/>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B63"/>
    <w:rsid w:val="00DD5F56"/>
    <w:rsid w:val="00DE5A19"/>
    <w:rsid w:val="00DE6F3A"/>
    <w:rsid w:val="00DF0832"/>
    <w:rsid w:val="00DF2598"/>
    <w:rsid w:val="00DF3820"/>
    <w:rsid w:val="00DF51BE"/>
    <w:rsid w:val="00DF76E0"/>
    <w:rsid w:val="00DF7A3B"/>
    <w:rsid w:val="00E027A2"/>
    <w:rsid w:val="00E055BF"/>
    <w:rsid w:val="00E07DA3"/>
    <w:rsid w:val="00E10359"/>
    <w:rsid w:val="00E1405E"/>
    <w:rsid w:val="00E14573"/>
    <w:rsid w:val="00E173A4"/>
    <w:rsid w:val="00E17764"/>
    <w:rsid w:val="00E25B8B"/>
    <w:rsid w:val="00E2655A"/>
    <w:rsid w:val="00E30B68"/>
    <w:rsid w:val="00E30C9D"/>
    <w:rsid w:val="00E34937"/>
    <w:rsid w:val="00E34F54"/>
    <w:rsid w:val="00E35D2C"/>
    <w:rsid w:val="00E36564"/>
    <w:rsid w:val="00E3672A"/>
    <w:rsid w:val="00E36F8E"/>
    <w:rsid w:val="00E41BD2"/>
    <w:rsid w:val="00E42EB5"/>
    <w:rsid w:val="00E44FF0"/>
    <w:rsid w:val="00E45597"/>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3F2B"/>
    <w:rsid w:val="00E84D37"/>
    <w:rsid w:val="00E84FC5"/>
    <w:rsid w:val="00E87FF3"/>
    <w:rsid w:val="00E901AB"/>
    <w:rsid w:val="00E9149C"/>
    <w:rsid w:val="00E93E0A"/>
    <w:rsid w:val="00E956E7"/>
    <w:rsid w:val="00E959C5"/>
    <w:rsid w:val="00E961FD"/>
    <w:rsid w:val="00E975D1"/>
    <w:rsid w:val="00E977F7"/>
    <w:rsid w:val="00EA018A"/>
    <w:rsid w:val="00EA02C1"/>
    <w:rsid w:val="00EA0E58"/>
    <w:rsid w:val="00EA1843"/>
    <w:rsid w:val="00EA27CD"/>
    <w:rsid w:val="00EA30AC"/>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F00ECD"/>
    <w:rsid w:val="00F01A8F"/>
    <w:rsid w:val="00F02193"/>
    <w:rsid w:val="00F04570"/>
    <w:rsid w:val="00F05F88"/>
    <w:rsid w:val="00F06B7C"/>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439E6"/>
    <w:rsid w:val="00F50141"/>
    <w:rsid w:val="00F509A9"/>
    <w:rsid w:val="00F50F08"/>
    <w:rsid w:val="00F51395"/>
    <w:rsid w:val="00F52C9C"/>
    <w:rsid w:val="00F54569"/>
    <w:rsid w:val="00F555BB"/>
    <w:rsid w:val="00F56CE3"/>
    <w:rsid w:val="00F62816"/>
    <w:rsid w:val="00F64320"/>
    <w:rsid w:val="00F65383"/>
    <w:rsid w:val="00F65B9A"/>
    <w:rsid w:val="00F71787"/>
    <w:rsid w:val="00F74E5A"/>
    <w:rsid w:val="00F76F7A"/>
    <w:rsid w:val="00F778AF"/>
    <w:rsid w:val="00F77CEB"/>
    <w:rsid w:val="00F82613"/>
    <w:rsid w:val="00F83E9B"/>
    <w:rsid w:val="00F87496"/>
    <w:rsid w:val="00F91A35"/>
    <w:rsid w:val="00F91E02"/>
    <w:rsid w:val="00F92126"/>
    <w:rsid w:val="00F921D9"/>
    <w:rsid w:val="00F93757"/>
    <w:rsid w:val="00F93EC6"/>
    <w:rsid w:val="00F965D9"/>
    <w:rsid w:val="00F96A38"/>
    <w:rsid w:val="00F9737B"/>
    <w:rsid w:val="00FA20A4"/>
    <w:rsid w:val="00FA293D"/>
    <w:rsid w:val="00FA35E8"/>
    <w:rsid w:val="00FA4141"/>
    <w:rsid w:val="00FB544E"/>
    <w:rsid w:val="00FC01B7"/>
    <w:rsid w:val="00FC0645"/>
    <w:rsid w:val="00FC1EE2"/>
    <w:rsid w:val="00FC2259"/>
    <w:rsid w:val="00FC26AD"/>
    <w:rsid w:val="00FC2844"/>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1014"/>
  <w15:docId w15:val="{B5FEFC21-4FB2-4DAE-B511-A34A2C75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9E6"/>
    <w:pPr>
      <w:contextualSpacing/>
    </w:pPr>
    <w:rPr>
      <w:sz w:val="22"/>
    </w:rPr>
  </w:style>
  <w:style w:type="paragraph" w:styleId="Kop1">
    <w:name w:val="heading 1"/>
    <w:basedOn w:val="Standaard"/>
    <w:next w:val="Standaard"/>
    <w:link w:val="Kop1Char"/>
    <w:autoRedefine/>
    <w:qFormat/>
    <w:rsid w:val="00E34F54"/>
    <w:pPr>
      <w:keepNext/>
      <w:spacing w:before="100" w:beforeAutospacing="1" w:after="120"/>
      <w:contextualSpacing w:val="0"/>
      <w:outlineLvl w:val="0"/>
    </w:pPr>
    <w:rPr>
      <w:rFonts w:eastAsiaTheme="majorEastAsia" w:cs="Calibri"/>
      <w:color w:val="0070C0"/>
      <w:kern w:val="32"/>
      <w:sz w:val="44"/>
      <w:szCs w:val="22"/>
      <w:lang w:eastAsia="nl-NL"/>
    </w:rPr>
  </w:style>
  <w:style w:type="paragraph" w:styleId="Kop2">
    <w:name w:val="heading 2"/>
    <w:basedOn w:val="Kop1"/>
    <w:next w:val="Standaard"/>
    <w:link w:val="Kop2Char"/>
    <w:autoRedefine/>
    <w:qFormat/>
    <w:rsid w:val="005F06A7"/>
    <w:pPr>
      <w:numPr>
        <w:ilvl w:val="1"/>
      </w:numPr>
      <w:spacing w:before="0" w:after="0"/>
      <w:ind w:left="567" w:hanging="567"/>
      <w:jc w:val="both"/>
      <w:outlineLvl w:val="1"/>
    </w:pPr>
    <w:rPr>
      <w:iCs/>
      <w:sz w:val="24"/>
    </w:rPr>
  </w:style>
  <w:style w:type="paragraph" w:styleId="Kop3">
    <w:name w:val="heading 3"/>
    <w:basedOn w:val="Standaard"/>
    <w:next w:val="Standaard"/>
    <w:link w:val="Kop3Char"/>
    <w:autoRedefine/>
    <w:qFormat/>
    <w:rsid w:val="000E7AD3"/>
    <w:pPr>
      <w:keepNext/>
      <w:numPr>
        <w:ilvl w:val="2"/>
        <w:numId w:val="1"/>
      </w:numPr>
      <w:spacing w:before="24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nhideWhenUsed/>
    <w:qFormat/>
    <w:rsid w:val="00DF2598"/>
    <w:pPr>
      <w:numPr>
        <w:ilvl w:val="5"/>
        <w:numId w:val="1"/>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nhideWhenUsed/>
    <w:qFormat/>
    <w:rsid w:val="00DF2598"/>
    <w:pPr>
      <w:numPr>
        <w:ilvl w:val="8"/>
        <w:numId w:val="1"/>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rsid w:val="00E34F54"/>
    <w:rPr>
      <w:rFonts w:eastAsiaTheme="majorEastAsia" w:cs="Calibri"/>
      <w:color w:val="0070C0"/>
      <w:kern w:val="32"/>
      <w:sz w:val="44"/>
      <w:szCs w:val="22"/>
      <w:lang w:eastAsia="nl-NL"/>
    </w:rPr>
  </w:style>
  <w:style w:type="character" w:customStyle="1" w:styleId="Kop2Char">
    <w:name w:val="Kop 2 Char"/>
    <w:basedOn w:val="Standaardalinea-lettertype"/>
    <w:link w:val="Kop2"/>
    <w:uiPriority w:val="1"/>
    <w:rsid w:val="005F06A7"/>
    <w:rPr>
      <w:rFonts w:eastAsiaTheme="majorEastAsia" w:cstheme="majorBidi"/>
      <w:b/>
      <w:bCs/>
      <w:iCs/>
      <w:color w:val="0070C0"/>
      <w:kern w:val="32"/>
      <w:sz w:val="24"/>
      <w:szCs w:val="32"/>
      <w:lang w:eastAsia="nl-NL"/>
    </w:rPr>
  </w:style>
  <w:style w:type="paragraph" w:styleId="Titel">
    <w:name w:val="Title"/>
    <w:basedOn w:val="Standaard"/>
    <w:next w:val="Standaard"/>
    <w:link w:val="TitelChar"/>
    <w:uiPriority w:val="10"/>
    <w:qFormat/>
    <w:rsid w:val="008F1A70"/>
    <w:pPr>
      <w:outlineLvl w:val="0"/>
    </w:pPr>
    <w:rPr>
      <w:rFonts w:asciiTheme="minorHAnsi" w:eastAsiaTheme="majorEastAsia" w:hAnsiTheme="minorHAnsi" w:cstheme="majorBidi"/>
      <w:b/>
      <w:bCs/>
      <w:color w:val="0070C0"/>
      <w:kern w:val="28"/>
      <w:sz w:val="28"/>
      <w:szCs w:val="32"/>
    </w:rPr>
  </w:style>
  <w:style w:type="character" w:customStyle="1" w:styleId="TitelChar">
    <w:name w:val="Titel Char"/>
    <w:basedOn w:val="Standaardalinea-lettertype"/>
    <w:link w:val="Titel"/>
    <w:uiPriority w:val="10"/>
    <w:rsid w:val="008F1A70"/>
    <w:rPr>
      <w:rFonts w:asciiTheme="minorHAnsi" w:eastAsiaTheme="majorEastAsia" w:hAnsiTheme="minorHAnsi" w:cstheme="majorBidi"/>
      <w:b/>
      <w:bCs/>
      <w:color w:val="0070C0"/>
      <w:kern w:val="28"/>
      <w:sz w:val="28"/>
      <w:szCs w:val="32"/>
    </w:rPr>
  </w:style>
  <w:style w:type="paragraph" w:styleId="Ondertitel">
    <w:name w:val="Subtitle"/>
    <w:basedOn w:val="Standaard"/>
    <w:next w:val="Standaard"/>
    <w:link w:val="OndertitelChar"/>
    <w:uiPriority w:val="11"/>
    <w:qFormat/>
    <w:rsid w:val="008F1A70"/>
    <w:pPr>
      <w:outlineLvl w:val="1"/>
    </w:pPr>
    <w:rPr>
      <w:rFonts w:eastAsiaTheme="majorEastAsia" w:cstheme="majorBidi"/>
      <w:b/>
      <w:color w:val="0070C0"/>
      <w:sz w:val="24"/>
      <w:szCs w:val="24"/>
    </w:rPr>
  </w:style>
  <w:style w:type="character" w:customStyle="1" w:styleId="OndertitelChar">
    <w:name w:val="Ondertitel Char"/>
    <w:basedOn w:val="Standaardalinea-lettertype"/>
    <w:link w:val="Ondertitel"/>
    <w:uiPriority w:val="11"/>
    <w:rsid w:val="008F1A70"/>
    <w:rPr>
      <w:rFonts w:eastAsiaTheme="majorEastAsia" w:cstheme="majorBidi"/>
      <w:b/>
      <w:color w:val="0070C0"/>
      <w:sz w:val="24"/>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sz w:val="22"/>
    </w:rPr>
  </w:style>
  <w:style w:type="character" w:customStyle="1" w:styleId="Kop4Char">
    <w:name w:val="Kop 4 Char"/>
    <w:basedOn w:val="Standaardalinea-lettertype"/>
    <w:link w:val="Kop4"/>
    <w:uiPriority w:val="99"/>
    <w:rsid w:val="00DF2598"/>
    <w:rPr>
      <w:rFonts w:eastAsiaTheme="minorEastAsia" w:cstheme="minorBidi"/>
      <w:b/>
      <w:bCs/>
      <w:sz w:val="22"/>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outlineLvl w:val="9"/>
    </w:pPr>
    <w:rPr>
      <w:rFonts w:asciiTheme="majorHAnsi" w:hAnsiTheme="majorHAnsi"/>
      <w:color w:val="365F91" w:themeColor="accent1" w:themeShade="BF"/>
      <w:kern w:val="0"/>
      <w:szCs w:val="28"/>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table" w:customStyle="1" w:styleId="Tabelraster9">
    <w:name w:val="Tabelraster9"/>
    <w:basedOn w:val="Standaardtabel"/>
    <w:next w:val="Tabelraster"/>
    <w:uiPriority w:val="39"/>
    <w:rsid w:val="0071050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8F6500"/>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CD10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6663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076A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8582-45C7-4393-8D31-9E487530971B}"/>
</file>

<file path=customXml/itemProps2.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3.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3246</Words>
  <Characters>17855</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2</cp:revision>
  <cp:lastPrinted>2018-02-10T15:40:00Z</cp:lastPrinted>
  <dcterms:created xsi:type="dcterms:W3CDTF">2023-09-07T13:58:00Z</dcterms:created>
  <dcterms:modified xsi:type="dcterms:W3CDTF">2023-09-07T13:58:00Z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