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6868" w14:textId="1E7119C6" w:rsidR="00A84144" w:rsidRDefault="009811A9" w:rsidP="009811A9">
      <w:pPr>
        <w:contextualSpacing w:val="0"/>
        <w:jc w:val="center"/>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73F68B7B" wp14:editId="5451E39F">
            <wp:extent cx="5834380" cy="1152525"/>
            <wp:effectExtent l="0" t="0" r="0" b="9525"/>
            <wp:docPr id="8" name="Afbeelding 8" descr="Afbeelding met Lettertype, Graphics, schermopname,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ettertype, Graphics, schermopname,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70BC491B" w14:textId="6BC9C89B" w:rsidR="004662EE" w:rsidRDefault="004662EE">
      <w:pPr>
        <w:contextualSpacing w:val="0"/>
        <w:rPr>
          <w:rFonts w:asciiTheme="minorHAnsi" w:hAnsiTheme="minorHAnsi" w:cstheme="minorHAnsi"/>
          <w:b/>
          <w:color w:val="002060"/>
          <w:sz w:val="36"/>
          <w:szCs w:val="36"/>
        </w:rPr>
      </w:pPr>
    </w:p>
    <w:p w14:paraId="1DCFC6B7" w14:textId="27652374" w:rsidR="004662EE" w:rsidRPr="003B57BB" w:rsidRDefault="00A76C5C" w:rsidP="003B57BB">
      <w:pPr>
        <w:contextualSpacing w:val="0"/>
        <w:jc w:val="center"/>
        <w:rPr>
          <w:rFonts w:asciiTheme="minorHAnsi" w:hAnsiTheme="minorHAnsi" w:cstheme="minorHAnsi"/>
          <w:b/>
          <w:color w:val="0070C0"/>
          <w:sz w:val="72"/>
          <w:szCs w:val="72"/>
        </w:rPr>
      </w:pPr>
      <w:bookmarkStart w:id="0" w:name="_Hlk57652415"/>
      <w:r>
        <w:rPr>
          <w:rFonts w:asciiTheme="minorHAnsi" w:hAnsiTheme="minorHAnsi" w:cstheme="minorHAnsi"/>
          <w:b/>
          <w:color w:val="0070C0"/>
          <w:sz w:val="72"/>
          <w:szCs w:val="72"/>
        </w:rPr>
        <w:t>Risk Management</w:t>
      </w:r>
    </w:p>
    <w:bookmarkEnd w:id="0"/>
    <w:p w14:paraId="68AB96B3" w14:textId="07E8B1E5" w:rsidR="009B063F" w:rsidRPr="004D2539" w:rsidRDefault="009811A9"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279B9EB4" w14:textId="77777777" w:rsidR="009811A9" w:rsidRPr="00DE5A19" w:rsidRDefault="009811A9" w:rsidP="009811A9">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9811A9" w:rsidRPr="00583416" w14:paraId="1DD8F415" w14:textId="77777777" w:rsidTr="00D24411">
        <w:trPr>
          <w:trHeight w:val="250"/>
        </w:trPr>
        <w:tc>
          <w:tcPr>
            <w:tcW w:w="846" w:type="dxa"/>
          </w:tcPr>
          <w:p w14:paraId="18241BEF" w14:textId="77777777" w:rsidR="009811A9" w:rsidRPr="00583416" w:rsidRDefault="009811A9" w:rsidP="00D24411">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3C5070AC"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74FF4FF2"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01AAF27A"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1624D3AB"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9811A9" w:rsidRPr="00583416" w14:paraId="6C82001A" w14:textId="77777777" w:rsidTr="00D24411">
        <w:tc>
          <w:tcPr>
            <w:tcW w:w="846" w:type="dxa"/>
          </w:tcPr>
          <w:p w14:paraId="27189383" w14:textId="77777777" w:rsidR="009811A9" w:rsidRPr="00583416" w:rsidRDefault="009811A9" w:rsidP="00D24411">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0.1</w:t>
            </w:r>
          </w:p>
        </w:tc>
        <w:tc>
          <w:tcPr>
            <w:tcW w:w="992" w:type="dxa"/>
          </w:tcPr>
          <w:p w14:paraId="74DFBFCF"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46CE6362"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76C771C0"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5C63DA12"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7DB1C02C"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27265DCF"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05E99190"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1"/>
      <w:tr w:rsidR="009811A9" w:rsidRPr="00583416" w14:paraId="20383EAB" w14:textId="77777777" w:rsidTr="00D24411">
        <w:tc>
          <w:tcPr>
            <w:tcW w:w="846" w:type="dxa"/>
          </w:tcPr>
          <w:p w14:paraId="524AC787" w14:textId="77777777" w:rsidR="009811A9" w:rsidRDefault="009811A9" w:rsidP="00D24411">
            <w:pPr>
              <w:contextualSpacing w:val="0"/>
              <w:jc w:val="center"/>
              <w:rPr>
                <w:rFonts w:asciiTheme="minorHAnsi" w:eastAsiaTheme="majorEastAsia" w:hAnsiTheme="minorHAnsi" w:cstheme="minorHAnsi"/>
                <w:bCs/>
                <w:lang w:eastAsia="nl-NL"/>
              </w:rPr>
            </w:pPr>
          </w:p>
        </w:tc>
        <w:tc>
          <w:tcPr>
            <w:tcW w:w="992" w:type="dxa"/>
          </w:tcPr>
          <w:p w14:paraId="19D5570B" w14:textId="77777777" w:rsidR="009811A9" w:rsidRDefault="009811A9" w:rsidP="00D24411">
            <w:pPr>
              <w:contextualSpacing w:val="0"/>
              <w:jc w:val="both"/>
              <w:rPr>
                <w:rFonts w:asciiTheme="minorHAnsi" w:eastAsiaTheme="majorEastAsia" w:hAnsiTheme="minorHAnsi" w:cstheme="minorHAnsi"/>
                <w:bCs/>
                <w:lang w:eastAsia="nl-NL"/>
              </w:rPr>
            </w:pPr>
          </w:p>
        </w:tc>
        <w:tc>
          <w:tcPr>
            <w:tcW w:w="1276" w:type="dxa"/>
          </w:tcPr>
          <w:p w14:paraId="28790209" w14:textId="77777777" w:rsidR="009811A9" w:rsidRDefault="009811A9" w:rsidP="00D24411">
            <w:pPr>
              <w:contextualSpacing w:val="0"/>
              <w:jc w:val="both"/>
              <w:rPr>
                <w:rFonts w:asciiTheme="minorHAnsi" w:eastAsiaTheme="majorEastAsia" w:hAnsiTheme="minorHAnsi" w:cstheme="minorHAnsi"/>
                <w:bCs/>
                <w:lang w:eastAsia="nl-NL"/>
              </w:rPr>
            </w:pPr>
          </w:p>
        </w:tc>
        <w:tc>
          <w:tcPr>
            <w:tcW w:w="3118" w:type="dxa"/>
          </w:tcPr>
          <w:p w14:paraId="454FE039" w14:textId="77777777" w:rsidR="009811A9" w:rsidRDefault="009811A9" w:rsidP="00D24411">
            <w:pPr>
              <w:contextualSpacing w:val="0"/>
              <w:jc w:val="both"/>
              <w:rPr>
                <w:rFonts w:asciiTheme="minorHAnsi" w:eastAsiaTheme="majorEastAsia" w:hAnsiTheme="minorHAnsi" w:cstheme="minorHAnsi"/>
                <w:bCs/>
                <w:lang w:eastAsia="nl-NL"/>
              </w:rPr>
            </w:pPr>
          </w:p>
        </w:tc>
        <w:tc>
          <w:tcPr>
            <w:tcW w:w="3119" w:type="dxa"/>
          </w:tcPr>
          <w:p w14:paraId="2459B317" w14:textId="77777777" w:rsidR="009811A9" w:rsidRDefault="009811A9" w:rsidP="00D24411">
            <w:pPr>
              <w:contextualSpacing w:val="0"/>
              <w:jc w:val="both"/>
              <w:rPr>
                <w:rFonts w:asciiTheme="minorHAnsi" w:eastAsiaTheme="majorEastAsia" w:hAnsiTheme="minorHAnsi" w:cstheme="minorHAnsi"/>
                <w:bCs/>
                <w:lang w:eastAsia="nl-NL"/>
              </w:rPr>
            </w:pPr>
          </w:p>
        </w:tc>
      </w:tr>
    </w:tbl>
    <w:p w14:paraId="5ACE1404" w14:textId="77777777" w:rsidR="009811A9" w:rsidRPr="004D2539" w:rsidRDefault="009811A9" w:rsidP="009811A9">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9811A9" w:rsidRPr="00583416" w14:paraId="1E9D5244" w14:textId="77777777" w:rsidTr="00D24411">
        <w:tc>
          <w:tcPr>
            <w:tcW w:w="988" w:type="dxa"/>
          </w:tcPr>
          <w:p w14:paraId="2EE2D56A"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4F2215EE"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69B01DCE"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24745994"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9811A9" w:rsidRPr="00583416" w14:paraId="0A46736A" w14:textId="77777777" w:rsidTr="00D24411">
        <w:tc>
          <w:tcPr>
            <w:tcW w:w="988" w:type="dxa"/>
          </w:tcPr>
          <w:p w14:paraId="1469C9D5" w14:textId="77777777" w:rsidR="009811A9" w:rsidRPr="00583416" w:rsidRDefault="009811A9" w:rsidP="00D24411">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39709CAA" w14:textId="77777777" w:rsidR="009811A9" w:rsidRPr="00583416" w:rsidRDefault="009811A9" w:rsidP="00D24411">
            <w:pPr>
              <w:contextualSpacing w:val="0"/>
              <w:jc w:val="both"/>
              <w:rPr>
                <w:rFonts w:asciiTheme="minorHAnsi" w:eastAsiaTheme="majorEastAsia" w:hAnsiTheme="minorHAnsi" w:cstheme="minorHAnsi"/>
                <w:bCs/>
                <w:lang w:eastAsia="nl-NL"/>
              </w:rPr>
            </w:pPr>
          </w:p>
        </w:tc>
        <w:tc>
          <w:tcPr>
            <w:tcW w:w="2236" w:type="dxa"/>
          </w:tcPr>
          <w:p w14:paraId="3036E6A6" w14:textId="77777777" w:rsidR="009811A9" w:rsidRPr="00583416" w:rsidRDefault="009811A9" w:rsidP="00D24411">
            <w:pPr>
              <w:contextualSpacing w:val="0"/>
              <w:jc w:val="both"/>
              <w:rPr>
                <w:rFonts w:asciiTheme="minorHAnsi" w:eastAsiaTheme="majorEastAsia" w:hAnsiTheme="minorHAnsi" w:cstheme="minorHAnsi"/>
                <w:bCs/>
                <w:lang w:eastAsia="nl-NL"/>
              </w:rPr>
            </w:pPr>
          </w:p>
        </w:tc>
        <w:tc>
          <w:tcPr>
            <w:tcW w:w="2522" w:type="dxa"/>
          </w:tcPr>
          <w:p w14:paraId="453B2D52"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167963BC" w14:textId="77777777" w:rsidR="009811A9" w:rsidRPr="00C55BFD" w:rsidRDefault="009811A9" w:rsidP="009811A9">
      <w:pPr>
        <w:contextualSpacing w:val="0"/>
        <w:jc w:val="both"/>
        <w:rPr>
          <w:rFonts w:ascii="Arial" w:eastAsia="PMingLiU" w:hAnsi="Arial" w:cs="Arial"/>
          <w:b/>
          <w:bCs/>
          <w:color w:val="1728A9"/>
          <w:sz w:val="18"/>
          <w:szCs w:val="18"/>
          <w:lang w:eastAsia="nl-NL"/>
        </w:rPr>
      </w:pPr>
    </w:p>
    <w:p w14:paraId="49F3E9CE" w14:textId="77777777" w:rsidR="009811A9" w:rsidRPr="001D6A2F" w:rsidRDefault="009811A9" w:rsidP="009811A9">
      <w:pPr>
        <w:contextualSpacing w:val="0"/>
        <w:rPr>
          <w:b/>
          <w:bCs/>
          <w:color w:val="2E74B5"/>
        </w:rPr>
      </w:pPr>
      <w:r w:rsidRPr="001D6A2F">
        <w:rPr>
          <w:b/>
          <w:bCs/>
          <w:color w:val="2E74B5"/>
        </w:rPr>
        <w:t>Sommige rechten voorbehouden</w:t>
      </w:r>
    </w:p>
    <w:p w14:paraId="2D5D5AC1" w14:textId="77777777" w:rsidR="009811A9" w:rsidRPr="001D6A2F" w:rsidRDefault="009811A9" w:rsidP="009811A9">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716F6C8F" w14:textId="77777777" w:rsidR="009811A9" w:rsidRPr="001D6A2F" w:rsidRDefault="009811A9" w:rsidP="009811A9">
      <w:pPr>
        <w:contextualSpacing w:val="0"/>
        <w:rPr>
          <w:sz w:val="16"/>
          <w:szCs w:val="16"/>
        </w:rPr>
      </w:pPr>
      <w:r w:rsidRPr="001D6A2F">
        <w:rPr>
          <w:noProof/>
          <w:sz w:val="22"/>
          <w:szCs w:val="22"/>
        </w:rPr>
        <w:drawing>
          <wp:anchor distT="0" distB="0" distL="114300" distR="114300" simplePos="0" relativeHeight="251663360" behindDoc="0" locked="0" layoutInCell="1" allowOverlap="1" wp14:anchorId="7FE4CFCA" wp14:editId="08047059">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A4B0F8" w14:textId="77777777" w:rsidR="009811A9" w:rsidRPr="001D6A2F" w:rsidRDefault="009811A9" w:rsidP="009811A9">
      <w:pPr>
        <w:contextualSpacing w:val="0"/>
        <w:rPr>
          <w:sz w:val="16"/>
          <w:szCs w:val="16"/>
          <w:lang w:val="en-US"/>
        </w:rPr>
      </w:pPr>
      <w:r w:rsidRPr="001D6A2F">
        <w:rPr>
          <w:sz w:val="16"/>
          <w:szCs w:val="16"/>
          <w:lang w:val="en-US"/>
        </w:rPr>
        <w:t>Creative commons</w:t>
      </w:r>
    </w:p>
    <w:p w14:paraId="7B260038" w14:textId="77777777" w:rsidR="009811A9" w:rsidRPr="001D6A2F" w:rsidRDefault="009811A9" w:rsidP="009811A9">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7BE35449" w14:textId="77777777" w:rsidR="009811A9" w:rsidRPr="001D6A2F" w:rsidRDefault="009811A9" w:rsidP="009811A9">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5B255CBE" w14:textId="77777777" w:rsidR="009811A9" w:rsidRPr="001D6A2F" w:rsidRDefault="009811A9" w:rsidP="009811A9">
      <w:pPr>
        <w:contextualSpacing w:val="0"/>
        <w:rPr>
          <w:sz w:val="16"/>
          <w:szCs w:val="16"/>
          <w:lang w:val="en-US" w:eastAsia="nl-NL"/>
        </w:rPr>
      </w:pPr>
    </w:p>
    <w:p w14:paraId="4363D857" w14:textId="77777777" w:rsidR="009811A9" w:rsidRPr="001D6A2F" w:rsidRDefault="009811A9" w:rsidP="009811A9">
      <w:pPr>
        <w:contextualSpacing w:val="0"/>
        <w:rPr>
          <w:sz w:val="16"/>
          <w:szCs w:val="16"/>
          <w:lang w:eastAsia="nl-NL"/>
        </w:rPr>
      </w:pPr>
      <w:r w:rsidRPr="001D6A2F">
        <w:rPr>
          <w:sz w:val="16"/>
          <w:szCs w:val="16"/>
          <w:lang w:eastAsia="nl-NL"/>
        </w:rPr>
        <w:t>De gebruiker mag:</w:t>
      </w:r>
    </w:p>
    <w:p w14:paraId="686F49FC" w14:textId="77777777" w:rsidR="009811A9" w:rsidRPr="001D6A2F" w:rsidRDefault="009811A9" w:rsidP="009811A9">
      <w:pPr>
        <w:contextualSpacing w:val="0"/>
        <w:rPr>
          <w:sz w:val="16"/>
          <w:szCs w:val="16"/>
          <w:lang w:eastAsia="nl-NL"/>
        </w:rPr>
      </w:pPr>
      <w:r w:rsidRPr="001D6A2F">
        <w:rPr>
          <w:sz w:val="16"/>
          <w:szCs w:val="16"/>
          <w:lang w:eastAsia="nl-NL"/>
        </w:rPr>
        <w:t>Het werk kopiëren, verspreiden en doorgeven</w:t>
      </w:r>
    </w:p>
    <w:p w14:paraId="10763439" w14:textId="77777777" w:rsidR="009811A9" w:rsidRPr="001D6A2F" w:rsidRDefault="009811A9" w:rsidP="009811A9">
      <w:pPr>
        <w:contextualSpacing w:val="0"/>
        <w:rPr>
          <w:sz w:val="16"/>
          <w:szCs w:val="16"/>
          <w:lang w:eastAsia="nl-NL"/>
        </w:rPr>
      </w:pPr>
      <w:r w:rsidRPr="001D6A2F">
        <w:rPr>
          <w:sz w:val="16"/>
          <w:szCs w:val="16"/>
          <w:lang w:eastAsia="nl-NL"/>
        </w:rPr>
        <w:t>Remixen – afgeleide werken maken</w:t>
      </w:r>
    </w:p>
    <w:p w14:paraId="21BE22DC" w14:textId="77777777" w:rsidR="009811A9" w:rsidRPr="001D6A2F" w:rsidRDefault="009811A9" w:rsidP="009811A9">
      <w:pPr>
        <w:contextualSpacing w:val="0"/>
        <w:rPr>
          <w:sz w:val="16"/>
          <w:szCs w:val="16"/>
          <w:lang w:eastAsia="nl-NL"/>
        </w:rPr>
      </w:pPr>
      <w:r w:rsidRPr="001D6A2F">
        <w:rPr>
          <w:sz w:val="16"/>
          <w:szCs w:val="16"/>
          <w:lang w:eastAsia="nl-NL"/>
        </w:rPr>
        <w:t>Onder de volgende voorwaarde:</w:t>
      </w:r>
    </w:p>
    <w:p w14:paraId="164C1596" w14:textId="77777777" w:rsidR="009811A9" w:rsidRPr="001D6A2F" w:rsidRDefault="009811A9" w:rsidP="009811A9">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245884D0" w14:textId="7995E84E" w:rsidR="009811A9" w:rsidRDefault="00164498">
      <w:pPr>
        <w:pStyle w:val="Inhopg1"/>
        <w:rPr>
          <w:rFonts w:eastAsiaTheme="minorEastAsia" w:cstheme="minorBidi"/>
          <w:b w:val="0"/>
          <w:bCs w:val="0"/>
          <w:caps w:val="0"/>
          <w:noProof/>
          <w:sz w:val="22"/>
          <w:szCs w:val="22"/>
          <w:lang w:eastAsia="nl-NL"/>
        </w:rPr>
      </w:pPr>
      <w:r w:rsidRPr="00C55BFD">
        <w:rPr>
          <w:rFonts w:ascii="Arial" w:eastAsiaTheme="majorEastAsia" w:hAnsi="Arial" w:cs="Arial"/>
          <w:b w:val="0"/>
          <w:bCs w:val="0"/>
          <w:color w:val="1728A9"/>
          <w:sz w:val="18"/>
          <w:szCs w:val="18"/>
          <w:lang w:eastAsia="nl-NL"/>
        </w:rPr>
        <w:lastRenderedPageBreak/>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b w:val="0"/>
          <w:bCs w:val="0"/>
          <w:color w:val="1728A9"/>
          <w:sz w:val="18"/>
          <w:szCs w:val="18"/>
          <w:lang w:eastAsia="nl-NL"/>
        </w:rPr>
        <w:fldChar w:fldCharType="separate"/>
      </w:r>
      <w:hyperlink w:anchor="_Toc144896463" w:history="1">
        <w:r w:rsidR="009811A9" w:rsidRPr="00FC00B4">
          <w:rPr>
            <w:rStyle w:val="Hyperlink"/>
            <w:noProof/>
          </w:rPr>
          <w:t>1.</w:t>
        </w:r>
        <w:r w:rsidR="009811A9">
          <w:rPr>
            <w:rFonts w:eastAsiaTheme="minorEastAsia" w:cstheme="minorBidi"/>
            <w:b w:val="0"/>
            <w:bCs w:val="0"/>
            <w:caps w:val="0"/>
            <w:noProof/>
            <w:sz w:val="22"/>
            <w:szCs w:val="22"/>
            <w:lang w:eastAsia="nl-NL"/>
          </w:rPr>
          <w:tab/>
        </w:r>
        <w:r w:rsidR="009811A9" w:rsidRPr="00FC00B4">
          <w:rPr>
            <w:rStyle w:val="Hyperlink"/>
            <w:noProof/>
          </w:rPr>
          <w:t>Inleiding</w:t>
        </w:r>
        <w:r w:rsidR="009811A9">
          <w:rPr>
            <w:noProof/>
            <w:webHidden/>
          </w:rPr>
          <w:tab/>
        </w:r>
        <w:r w:rsidR="009811A9">
          <w:rPr>
            <w:noProof/>
            <w:webHidden/>
          </w:rPr>
          <w:fldChar w:fldCharType="begin"/>
        </w:r>
        <w:r w:rsidR="009811A9">
          <w:rPr>
            <w:noProof/>
            <w:webHidden/>
          </w:rPr>
          <w:instrText xml:space="preserve"> PAGEREF _Toc144896463 \h </w:instrText>
        </w:r>
        <w:r w:rsidR="009811A9">
          <w:rPr>
            <w:noProof/>
            <w:webHidden/>
          </w:rPr>
        </w:r>
        <w:r w:rsidR="009811A9">
          <w:rPr>
            <w:noProof/>
            <w:webHidden/>
          </w:rPr>
          <w:fldChar w:fldCharType="separate"/>
        </w:r>
        <w:r w:rsidR="009811A9">
          <w:rPr>
            <w:noProof/>
            <w:webHidden/>
          </w:rPr>
          <w:t>3</w:t>
        </w:r>
        <w:r w:rsidR="009811A9">
          <w:rPr>
            <w:noProof/>
            <w:webHidden/>
          </w:rPr>
          <w:fldChar w:fldCharType="end"/>
        </w:r>
      </w:hyperlink>
    </w:p>
    <w:p w14:paraId="72EBE23F" w14:textId="31F55A3D"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64" w:history="1">
        <w:r w:rsidR="009811A9" w:rsidRPr="00FC00B4">
          <w:rPr>
            <w:rStyle w:val="Hyperlink"/>
            <w:noProof/>
          </w:rPr>
          <w:t>1.1.</w:t>
        </w:r>
        <w:r w:rsidR="009811A9">
          <w:rPr>
            <w:rFonts w:eastAsiaTheme="minorEastAsia" w:cstheme="minorBidi"/>
            <w:smallCaps w:val="0"/>
            <w:noProof/>
            <w:sz w:val="22"/>
            <w:szCs w:val="22"/>
            <w:lang w:eastAsia="nl-NL"/>
          </w:rPr>
          <w:tab/>
        </w:r>
        <w:r w:rsidR="009811A9" w:rsidRPr="00FC00B4">
          <w:rPr>
            <w:rStyle w:val="Hyperlink"/>
            <w:noProof/>
          </w:rPr>
          <w:t>Aanleiding</w:t>
        </w:r>
        <w:r w:rsidR="009811A9">
          <w:rPr>
            <w:noProof/>
            <w:webHidden/>
          </w:rPr>
          <w:tab/>
        </w:r>
        <w:r w:rsidR="009811A9">
          <w:rPr>
            <w:noProof/>
            <w:webHidden/>
          </w:rPr>
          <w:fldChar w:fldCharType="begin"/>
        </w:r>
        <w:r w:rsidR="009811A9">
          <w:rPr>
            <w:noProof/>
            <w:webHidden/>
          </w:rPr>
          <w:instrText xml:space="preserve"> PAGEREF _Toc144896464 \h </w:instrText>
        </w:r>
        <w:r w:rsidR="009811A9">
          <w:rPr>
            <w:noProof/>
            <w:webHidden/>
          </w:rPr>
        </w:r>
        <w:r w:rsidR="009811A9">
          <w:rPr>
            <w:noProof/>
            <w:webHidden/>
          </w:rPr>
          <w:fldChar w:fldCharType="separate"/>
        </w:r>
        <w:r w:rsidR="009811A9">
          <w:rPr>
            <w:noProof/>
            <w:webHidden/>
          </w:rPr>
          <w:t>3</w:t>
        </w:r>
        <w:r w:rsidR="009811A9">
          <w:rPr>
            <w:noProof/>
            <w:webHidden/>
          </w:rPr>
          <w:fldChar w:fldCharType="end"/>
        </w:r>
      </w:hyperlink>
    </w:p>
    <w:p w14:paraId="5E537E0D" w14:textId="29434AE6"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65" w:history="1">
        <w:r w:rsidR="009811A9" w:rsidRPr="00FC00B4">
          <w:rPr>
            <w:rStyle w:val="Hyperlink"/>
            <w:noProof/>
          </w:rPr>
          <w:t>1.2.</w:t>
        </w:r>
        <w:r w:rsidR="009811A9">
          <w:rPr>
            <w:rFonts w:eastAsiaTheme="minorEastAsia" w:cstheme="minorBidi"/>
            <w:smallCaps w:val="0"/>
            <w:noProof/>
            <w:sz w:val="22"/>
            <w:szCs w:val="22"/>
            <w:lang w:eastAsia="nl-NL"/>
          </w:rPr>
          <w:tab/>
        </w:r>
        <w:r w:rsidR="009811A9" w:rsidRPr="00FC00B4">
          <w:rPr>
            <w:rStyle w:val="Hyperlink"/>
            <w:noProof/>
          </w:rPr>
          <w:t>Gemaakte afspraken</w:t>
        </w:r>
        <w:r w:rsidR="009811A9">
          <w:rPr>
            <w:noProof/>
            <w:webHidden/>
          </w:rPr>
          <w:tab/>
        </w:r>
        <w:r w:rsidR="009811A9">
          <w:rPr>
            <w:noProof/>
            <w:webHidden/>
          </w:rPr>
          <w:fldChar w:fldCharType="begin"/>
        </w:r>
        <w:r w:rsidR="009811A9">
          <w:rPr>
            <w:noProof/>
            <w:webHidden/>
          </w:rPr>
          <w:instrText xml:space="preserve"> PAGEREF _Toc144896465 \h </w:instrText>
        </w:r>
        <w:r w:rsidR="009811A9">
          <w:rPr>
            <w:noProof/>
            <w:webHidden/>
          </w:rPr>
        </w:r>
        <w:r w:rsidR="009811A9">
          <w:rPr>
            <w:noProof/>
            <w:webHidden/>
          </w:rPr>
          <w:fldChar w:fldCharType="separate"/>
        </w:r>
        <w:r w:rsidR="009811A9">
          <w:rPr>
            <w:noProof/>
            <w:webHidden/>
          </w:rPr>
          <w:t>4</w:t>
        </w:r>
        <w:r w:rsidR="009811A9">
          <w:rPr>
            <w:noProof/>
            <w:webHidden/>
          </w:rPr>
          <w:fldChar w:fldCharType="end"/>
        </w:r>
      </w:hyperlink>
    </w:p>
    <w:p w14:paraId="4417999B" w14:textId="6843B145"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66" w:history="1">
        <w:r w:rsidR="009811A9" w:rsidRPr="00FC00B4">
          <w:rPr>
            <w:rStyle w:val="Hyperlink"/>
            <w:rFonts w:eastAsia="Times New Roman"/>
            <w:noProof/>
          </w:rPr>
          <w:t>1.3.</w:t>
        </w:r>
        <w:r w:rsidR="009811A9">
          <w:rPr>
            <w:rFonts w:eastAsiaTheme="minorEastAsia" w:cstheme="minorBidi"/>
            <w:smallCaps w:val="0"/>
            <w:noProof/>
            <w:sz w:val="22"/>
            <w:szCs w:val="22"/>
            <w:lang w:eastAsia="nl-NL"/>
          </w:rPr>
          <w:tab/>
        </w:r>
        <w:r w:rsidR="009811A9" w:rsidRPr="00FC00B4">
          <w:rPr>
            <w:rStyle w:val="Hyperlink"/>
            <w:rFonts w:eastAsia="Times New Roman"/>
            <w:noProof/>
          </w:rPr>
          <w:t>Risico beoordeling</w:t>
        </w:r>
        <w:r w:rsidR="009811A9">
          <w:rPr>
            <w:noProof/>
            <w:webHidden/>
          </w:rPr>
          <w:tab/>
        </w:r>
        <w:r w:rsidR="009811A9">
          <w:rPr>
            <w:noProof/>
            <w:webHidden/>
          </w:rPr>
          <w:fldChar w:fldCharType="begin"/>
        </w:r>
        <w:r w:rsidR="009811A9">
          <w:rPr>
            <w:noProof/>
            <w:webHidden/>
          </w:rPr>
          <w:instrText xml:space="preserve"> PAGEREF _Toc144896466 \h </w:instrText>
        </w:r>
        <w:r w:rsidR="009811A9">
          <w:rPr>
            <w:noProof/>
            <w:webHidden/>
          </w:rPr>
        </w:r>
        <w:r w:rsidR="009811A9">
          <w:rPr>
            <w:noProof/>
            <w:webHidden/>
          </w:rPr>
          <w:fldChar w:fldCharType="separate"/>
        </w:r>
        <w:r w:rsidR="009811A9">
          <w:rPr>
            <w:noProof/>
            <w:webHidden/>
          </w:rPr>
          <w:t>4</w:t>
        </w:r>
        <w:r w:rsidR="009811A9">
          <w:rPr>
            <w:noProof/>
            <w:webHidden/>
          </w:rPr>
          <w:fldChar w:fldCharType="end"/>
        </w:r>
      </w:hyperlink>
    </w:p>
    <w:p w14:paraId="586CA3D4" w14:textId="1D0ED08B"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67" w:history="1">
        <w:r w:rsidR="009811A9" w:rsidRPr="00FC00B4">
          <w:rPr>
            <w:rStyle w:val="Hyperlink"/>
            <w:noProof/>
          </w:rPr>
          <w:t>1.4.</w:t>
        </w:r>
        <w:r w:rsidR="009811A9">
          <w:rPr>
            <w:rFonts w:eastAsiaTheme="minorEastAsia" w:cstheme="minorBidi"/>
            <w:smallCaps w:val="0"/>
            <w:noProof/>
            <w:sz w:val="22"/>
            <w:szCs w:val="22"/>
            <w:lang w:eastAsia="nl-NL"/>
          </w:rPr>
          <w:tab/>
        </w:r>
        <w:r w:rsidR="009811A9" w:rsidRPr="00FC00B4">
          <w:rPr>
            <w:rStyle w:val="Hyperlink"/>
            <w:noProof/>
          </w:rPr>
          <w:t>Risico cyclus</w:t>
        </w:r>
        <w:r w:rsidR="009811A9">
          <w:rPr>
            <w:noProof/>
            <w:webHidden/>
          </w:rPr>
          <w:tab/>
        </w:r>
        <w:r w:rsidR="009811A9">
          <w:rPr>
            <w:noProof/>
            <w:webHidden/>
          </w:rPr>
          <w:fldChar w:fldCharType="begin"/>
        </w:r>
        <w:r w:rsidR="009811A9">
          <w:rPr>
            <w:noProof/>
            <w:webHidden/>
          </w:rPr>
          <w:instrText xml:space="preserve"> PAGEREF _Toc144896467 \h </w:instrText>
        </w:r>
        <w:r w:rsidR="009811A9">
          <w:rPr>
            <w:noProof/>
            <w:webHidden/>
          </w:rPr>
        </w:r>
        <w:r w:rsidR="009811A9">
          <w:rPr>
            <w:noProof/>
            <w:webHidden/>
          </w:rPr>
          <w:fldChar w:fldCharType="separate"/>
        </w:r>
        <w:r w:rsidR="009811A9">
          <w:rPr>
            <w:noProof/>
            <w:webHidden/>
          </w:rPr>
          <w:t>4</w:t>
        </w:r>
        <w:r w:rsidR="009811A9">
          <w:rPr>
            <w:noProof/>
            <w:webHidden/>
          </w:rPr>
          <w:fldChar w:fldCharType="end"/>
        </w:r>
      </w:hyperlink>
    </w:p>
    <w:p w14:paraId="5AD5D1A8" w14:textId="35E629D7" w:rsidR="009811A9" w:rsidRDefault="00846082">
      <w:pPr>
        <w:pStyle w:val="Inhopg1"/>
        <w:rPr>
          <w:rFonts w:eastAsiaTheme="minorEastAsia" w:cstheme="minorBidi"/>
          <w:b w:val="0"/>
          <w:bCs w:val="0"/>
          <w:caps w:val="0"/>
          <w:noProof/>
          <w:sz w:val="22"/>
          <w:szCs w:val="22"/>
          <w:lang w:eastAsia="nl-NL"/>
        </w:rPr>
      </w:pPr>
      <w:hyperlink w:anchor="_Toc144896468" w:history="1">
        <w:r w:rsidR="009811A9" w:rsidRPr="00FC00B4">
          <w:rPr>
            <w:rStyle w:val="Hyperlink"/>
            <w:rFonts w:eastAsia="Times New Roman"/>
            <w:noProof/>
          </w:rPr>
          <w:t>2.</w:t>
        </w:r>
        <w:r w:rsidR="009811A9">
          <w:rPr>
            <w:rFonts w:eastAsiaTheme="minorEastAsia" w:cstheme="minorBidi"/>
            <w:b w:val="0"/>
            <w:bCs w:val="0"/>
            <w:caps w:val="0"/>
            <w:noProof/>
            <w:sz w:val="22"/>
            <w:szCs w:val="22"/>
            <w:lang w:eastAsia="nl-NL"/>
          </w:rPr>
          <w:tab/>
        </w:r>
        <w:r w:rsidR="009811A9" w:rsidRPr="00FC00B4">
          <w:rPr>
            <w:rStyle w:val="Hyperlink"/>
            <w:rFonts w:eastAsia="Times New Roman"/>
            <w:noProof/>
          </w:rPr>
          <w:t>Risico inventarisatie op basis van Cyberdreigingsbeeld</w:t>
        </w:r>
        <w:r w:rsidR="009811A9">
          <w:rPr>
            <w:noProof/>
            <w:webHidden/>
          </w:rPr>
          <w:tab/>
        </w:r>
        <w:r w:rsidR="009811A9">
          <w:rPr>
            <w:noProof/>
            <w:webHidden/>
          </w:rPr>
          <w:fldChar w:fldCharType="begin"/>
        </w:r>
        <w:r w:rsidR="009811A9">
          <w:rPr>
            <w:noProof/>
            <w:webHidden/>
          </w:rPr>
          <w:instrText xml:space="preserve"> PAGEREF _Toc144896468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57D90B79" w14:textId="7F34391A"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69" w:history="1">
        <w:r w:rsidR="009811A9" w:rsidRPr="00FC00B4">
          <w:rPr>
            <w:rStyle w:val="Hyperlink"/>
            <w:noProof/>
          </w:rPr>
          <w:t>2.1.</w:t>
        </w:r>
        <w:r w:rsidR="009811A9">
          <w:rPr>
            <w:rFonts w:eastAsiaTheme="minorEastAsia" w:cstheme="minorBidi"/>
            <w:smallCaps w:val="0"/>
            <w:noProof/>
            <w:sz w:val="22"/>
            <w:szCs w:val="22"/>
            <w:lang w:eastAsia="nl-NL"/>
          </w:rPr>
          <w:tab/>
        </w:r>
        <w:r w:rsidR="009811A9" w:rsidRPr="00FC00B4">
          <w:rPr>
            <w:rStyle w:val="Hyperlink"/>
            <w:noProof/>
          </w:rPr>
          <w:t>Samenvatting</w:t>
        </w:r>
        <w:r w:rsidR="009811A9">
          <w:rPr>
            <w:noProof/>
            <w:webHidden/>
          </w:rPr>
          <w:tab/>
        </w:r>
        <w:r w:rsidR="009811A9">
          <w:rPr>
            <w:noProof/>
            <w:webHidden/>
          </w:rPr>
          <w:fldChar w:fldCharType="begin"/>
        </w:r>
        <w:r w:rsidR="009811A9">
          <w:rPr>
            <w:noProof/>
            <w:webHidden/>
          </w:rPr>
          <w:instrText xml:space="preserve"> PAGEREF _Toc144896469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3C99FAF2" w14:textId="7998E556"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0" w:history="1">
        <w:r w:rsidR="009811A9" w:rsidRPr="00FC00B4">
          <w:rPr>
            <w:rStyle w:val="Hyperlink"/>
            <w:noProof/>
          </w:rPr>
          <w:t>Dreigingen en kwetsbaarheden permanent aanwezig</w:t>
        </w:r>
        <w:r w:rsidR="009811A9">
          <w:rPr>
            <w:noProof/>
            <w:webHidden/>
          </w:rPr>
          <w:tab/>
        </w:r>
        <w:r w:rsidR="009811A9">
          <w:rPr>
            <w:noProof/>
            <w:webHidden/>
          </w:rPr>
          <w:fldChar w:fldCharType="begin"/>
        </w:r>
        <w:r w:rsidR="009811A9">
          <w:rPr>
            <w:noProof/>
            <w:webHidden/>
          </w:rPr>
          <w:instrText xml:space="preserve"> PAGEREF _Toc144896470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7A3CF585" w14:textId="0EE0CBEC"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1" w:history="1">
        <w:r w:rsidR="009811A9" w:rsidRPr="00FC00B4">
          <w:rPr>
            <w:rStyle w:val="Hyperlink"/>
            <w:noProof/>
          </w:rPr>
          <w:t>Weerbaarheid blijft aandachtspunt</w:t>
        </w:r>
        <w:r w:rsidR="009811A9">
          <w:rPr>
            <w:noProof/>
            <w:webHidden/>
          </w:rPr>
          <w:tab/>
        </w:r>
        <w:r w:rsidR="009811A9">
          <w:rPr>
            <w:noProof/>
            <w:webHidden/>
          </w:rPr>
          <w:fldChar w:fldCharType="begin"/>
        </w:r>
        <w:r w:rsidR="009811A9">
          <w:rPr>
            <w:noProof/>
            <w:webHidden/>
          </w:rPr>
          <w:instrText xml:space="preserve"> PAGEREF _Toc144896471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0FA3E6D5" w14:textId="11B177ED"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2" w:history="1">
        <w:r w:rsidR="009811A9" w:rsidRPr="00FC00B4">
          <w:rPr>
            <w:rStyle w:val="Hyperlink"/>
            <w:noProof/>
          </w:rPr>
          <w:t>Incidenten beter gedetecteerd maar nog niet altijd gedeeld</w:t>
        </w:r>
        <w:r w:rsidR="009811A9">
          <w:rPr>
            <w:noProof/>
            <w:webHidden/>
          </w:rPr>
          <w:tab/>
        </w:r>
        <w:r w:rsidR="009811A9">
          <w:rPr>
            <w:noProof/>
            <w:webHidden/>
          </w:rPr>
          <w:fldChar w:fldCharType="begin"/>
        </w:r>
        <w:r w:rsidR="009811A9">
          <w:rPr>
            <w:noProof/>
            <w:webHidden/>
          </w:rPr>
          <w:instrText xml:space="preserve"> PAGEREF _Toc144896472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1DDB2211" w14:textId="68905988"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3" w:history="1">
        <w:r w:rsidR="009811A9" w:rsidRPr="00FC00B4">
          <w:rPr>
            <w:rStyle w:val="Hyperlink"/>
            <w:noProof/>
          </w:rPr>
          <w:t>Risicobeheer nog in de kinderschoenen</w:t>
        </w:r>
        <w:r w:rsidR="009811A9">
          <w:rPr>
            <w:noProof/>
            <w:webHidden/>
          </w:rPr>
          <w:tab/>
        </w:r>
        <w:r w:rsidR="009811A9">
          <w:rPr>
            <w:noProof/>
            <w:webHidden/>
          </w:rPr>
          <w:fldChar w:fldCharType="begin"/>
        </w:r>
        <w:r w:rsidR="009811A9">
          <w:rPr>
            <w:noProof/>
            <w:webHidden/>
          </w:rPr>
          <w:instrText xml:space="preserve"> PAGEREF _Toc144896473 \h </w:instrText>
        </w:r>
        <w:r w:rsidR="009811A9">
          <w:rPr>
            <w:noProof/>
            <w:webHidden/>
          </w:rPr>
        </w:r>
        <w:r w:rsidR="009811A9">
          <w:rPr>
            <w:noProof/>
            <w:webHidden/>
          </w:rPr>
          <w:fldChar w:fldCharType="separate"/>
        </w:r>
        <w:r w:rsidR="009811A9">
          <w:rPr>
            <w:noProof/>
            <w:webHidden/>
          </w:rPr>
          <w:t>5</w:t>
        </w:r>
        <w:r w:rsidR="009811A9">
          <w:rPr>
            <w:noProof/>
            <w:webHidden/>
          </w:rPr>
          <w:fldChar w:fldCharType="end"/>
        </w:r>
      </w:hyperlink>
    </w:p>
    <w:p w14:paraId="7AB6B1DA" w14:textId="103BFD7B"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74" w:history="1">
        <w:r w:rsidR="009811A9" w:rsidRPr="00FC00B4">
          <w:rPr>
            <w:rStyle w:val="Hyperlink"/>
            <w:noProof/>
          </w:rPr>
          <w:t>2.2.</w:t>
        </w:r>
        <w:r w:rsidR="009811A9">
          <w:rPr>
            <w:rFonts w:eastAsiaTheme="minorEastAsia" w:cstheme="minorBidi"/>
            <w:smallCaps w:val="0"/>
            <w:noProof/>
            <w:sz w:val="22"/>
            <w:szCs w:val="22"/>
            <w:lang w:eastAsia="nl-NL"/>
          </w:rPr>
          <w:tab/>
        </w:r>
        <w:r w:rsidR="009811A9" w:rsidRPr="00FC00B4">
          <w:rPr>
            <w:rStyle w:val="Hyperlink"/>
            <w:noProof/>
          </w:rPr>
          <w:t>Dashboard sectoraal beeld 2022</w:t>
        </w:r>
        <w:r w:rsidR="009811A9">
          <w:rPr>
            <w:noProof/>
            <w:webHidden/>
          </w:rPr>
          <w:tab/>
        </w:r>
        <w:r w:rsidR="009811A9">
          <w:rPr>
            <w:noProof/>
            <w:webHidden/>
          </w:rPr>
          <w:fldChar w:fldCharType="begin"/>
        </w:r>
        <w:r w:rsidR="009811A9">
          <w:rPr>
            <w:noProof/>
            <w:webHidden/>
          </w:rPr>
          <w:instrText xml:space="preserve"> PAGEREF _Toc144896474 \h </w:instrText>
        </w:r>
        <w:r w:rsidR="009811A9">
          <w:rPr>
            <w:noProof/>
            <w:webHidden/>
          </w:rPr>
        </w:r>
        <w:r w:rsidR="009811A9">
          <w:rPr>
            <w:noProof/>
            <w:webHidden/>
          </w:rPr>
          <w:fldChar w:fldCharType="separate"/>
        </w:r>
        <w:r w:rsidR="009811A9">
          <w:rPr>
            <w:noProof/>
            <w:webHidden/>
          </w:rPr>
          <w:t>6</w:t>
        </w:r>
        <w:r w:rsidR="009811A9">
          <w:rPr>
            <w:noProof/>
            <w:webHidden/>
          </w:rPr>
          <w:fldChar w:fldCharType="end"/>
        </w:r>
      </w:hyperlink>
    </w:p>
    <w:p w14:paraId="4DD1E391" w14:textId="1328E689"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5" w:history="1">
        <w:r w:rsidR="009811A9" w:rsidRPr="00FC00B4">
          <w:rPr>
            <w:rStyle w:val="Hyperlink"/>
            <w:noProof/>
          </w:rPr>
          <w:t>Risicobeeld 2022</w:t>
        </w:r>
        <w:r w:rsidR="009811A9">
          <w:rPr>
            <w:noProof/>
            <w:webHidden/>
          </w:rPr>
          <w:tab/>
        </w:r>
        <w:r w:rsidR="009811A9">
          <w:rPr>
            <w:noProof/>
            <w:webHidden/>
          </w:rPr>
          <w:fldChar w:fldCharType="begin"/>
        </w:r>
        <w:r w:rsidR="009811A9">
          <w:rPr>
            <w:noProof/>
            <w:webHidden/>
          </w:rPr>
          <w:instrText xml:space="preserve"> PAGEREF _Toc144896475 \h </w:instrText>
        </w:r>
        <w:r w:rsidR="009811A9">
          <w:rPr>
            <w:noProof/>
            <w:webHidden/>
          </w:rPr>
        </w:r>
        <w:r w:rsidR="009811A9">
          <w:rPr>
            <w:noProof/>
            <w:webHidden/>
          </w:rPr>
          <w:fldChar w:fldCharType="separate"/>
        </w:r>
        <w:r w:rsidR="009811A9">
          <w:rPr>
            <w:noProof/>
            <w:webHidden/>
          </w:rPr>
          <w:t>6</w:t>
        </w:r>
        <w:r w:rsidR="009811A9">
          <w:rPr>
            <w:noProof/>
            <w:webHidden/>
          </w:rPr>
          <w:fldChar w:fldCharType="end"/>
        </w:r>
      </w:hyperlink>
    </w:p>
    <w:p w14:paraId="081416C2" w14:textId="179554A4" w:rsidR="009811A9" w:rsidRDefault="00846082">
      <w:pPr>
        <w:pStyle w:val="Inhopg2"/>
        <w:tabs>
          <w:tab w:val="right" w:leader="dot" w:pos="13994"/>
        </w:tabs>
        <w:rPr>
          <w:rFonts w:eastAsiaTheme="minorEastAsia" w:cstheme="minorBidi"/>
          <w:smallCaps w:val="0"/>
          <w:noProof/>
          <w:sz w:val="22"/>
          <w:szCs w:val="22"/>
          <w:lang w:eastAsia="nl-NL"/>
        </w:rPr>
      </w:pPr>
      <w:hyperlink w:anchor="_Toc144896476" w:history="1">
        <w:r w:rsidR="009811A9" w:rsidRPr="00FC00B4">
          <w:rPr>
            <w:rStyle w:val="Hyperlink"/>
            <w:noProof/>
          </w:rPr>
          <w:t>Incidentbeeld in 2022</w:t>
        </w:r>
        <w:r w:rsidR="009811A9">
          <w:rPr>
            <w:noProof/>
            <w:webHidden/>
          </w:rPr>
          <w:tab/>
        </w:r>
        <w:r w:rsidR="009811A9">
          <w:rPr>
            <w:noProof/>
            <w:webHidden/>
          </w:rPr>
          <w:fldChar w:fldCharType="begin"/>
        </w:r>
        <w:r w:rsidR="009811A9">
          <w:rPr>
            <w:noProof/>
            <w:webHidden/>
          </w:rPr>
          <w:instrText xml:space="preserve"> PAGEREF _Toc144896476 \h </w:instrText>
        </w:r>
        <w:r w:rsidR="009811A9">
          <w:rPr>
            <w:noProof/>
            <w:webHidden/>
          </w:rPr>
        </w:r>
        <w:r w:rsidR="009811A9">
          <w:rPr>
            <w:noProof/>
            <w:webHidden/>
          </w:rPr>
          <w:fldChar w:fldCharType="separate"/>
        </w:r>
        <w:r w:rsidR="009811A9">
          <w:rPr>
            <w:noProof/>
            <w:webHidden/>
          </w:rPr>
          <w:t>7</w:t>
        </w:r>
        <w:r w:rsidR="009811A9">
          <w:rPr>
            <w:noProof/>
            <w:webHidden/>
          </w:rPr>
          <w:fldChar w:fldCharType="end"/>
        </w:r>
      </w:hyperlink>
    </w:p>
    <w:p w14:paraId="05B9C53B" w14:textId="01107F52"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77" w:history="1">
        <w:r w:rsidR="009811A9" w:rsidRPr="00FC00B4">
          <w:rPr>
            <w:rStyle w:val="Hyperlink"/>
            <w:noProof/>
          </w:rPr>
          <w:t>2.3.</w:t>
        </w:r>
        <w:r w:rsidR="009811A9">
          <w:rPr>
            <w:rFonts w:eastAsiaTheme="minorEastAsia" w:cstheme="minorBidi"/>
            <w:smallCaps w:val="0"/>
            <w:noProof/>
            <w:sz w:val="22"/>
            <w:szCs w:val="22"/>
            <w:lang w:eastAsia="nl-NL"/>
          </w:rPr>
          <w:tab/>
        </w:r>
        <w:r w:rsidR="009811A9" w:rsidRPr="00FC00B4">
          <w:rPr>
            <w:rStyle w:val="Hyperlink"/>
            <w:noProof/>
          </w:rPr>
          <w:t>Risicobeheer</w:t>
        </w:r>
        <w:r w:rsidR="009811A9">
          <w:rPr>
            <w:noProof/>
            <w:webHidden/>
          </w:rPr>
          <w:tab/>
        </w:r>
        <w:r w:rsidR="009811A9">
          <w:rPr>
            <w:noProof/>
            <w:webHidden/>
          </w:rPr>
          <w:fldChar w:fldCharType="begin"/>
        </w:r>
        <w:r w:rsidR="009811A9">
          <w:rPr>
            <w:noProof/>
            <w:webHidden/>
          </w:rPr>
          <w:instrText xml:space="preserve"> PAGEREF _Toc144896477 \h </w:instrText>
        </w:r>
        <w:r w:rsidR="009811A9">
          <w:rPr>
            <w:noProof/>
            <w:webHidden/>
          </w:rPr>
        </w:r>
        <w:r w:rsidR="009811A9">
          <w:rPr>
            <w:noProof/>
            <w:webHidden/>
          </w:rPr>
          <w:fldChar w:fldCharType="separate"/>
        </w:r>
        <w:r w:rsidR="009811A9">
          <w:rPr>
            <w:noProof/>
            <w:webHidden/>
          </w:rPr>
          <w:t>7</w:t>
        </w:r>
        <w:r w:rsidR="009811A9">
          <w:rPr>
            <w:noProof/>
            <w:webHidden/>
          </w:rPr>
          <w:fldChar w:fldCharType="end"/>
        </w:r>
      </w:hyperlink>
    </w:p>
    <w:p w14:paraId="42D0171D" w14:textId="6477FED7"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78" w:history="1">
        <w:r w:rsidR="009811A9" w:rsidRPr="00FC00B4">
          <w:rPr>
            <w:rStyle w:val="Hyperlink"/>
            <w:noProof/>
          </w:rPr>
          <w:t>2.4.</w:t>
        </w:r>
        <w:r w:rsidR="009811A9">
          <w:rPr>
            <w:rFonts w:eastAsiaTheme="minorEastAsia" w:cstheme="minorBidi"/>
            <w:smallCaps w:val="0"/>
            <w:noProof/>
            <w:sz w:val="22"/>
            <w:szCs w:val="22"/>
            <w:lang w:eastAsia="nl-NL"/>
          </w:rPr>
          <w:tab/>
        </w:r>
        <w:r w:rsidR="009811A9" w:rsidRPr="00FC00B4">
          <w:rPr>
            <w:rStyle w:val="Hyperlink"/>
            <w:noProof/>
          </w:rPr>
          <w:t>Ketenafhankelijkheid</w:t>
        </w:r>
        <w:r w:rsidR="009811A9">
          <w:rPr>
            <w:noProof/>
            <w:webHidden/>
          </w:rPr>
          <w:tab/>
        </w:r>
        <w:r w:rsidR="009811A9">
          <w:rPr>
            <w:noProof/>
            <w:webHidden/>
          </w:rPr>
          <w:fldChar w:fldCharType="begin"/>
        </w:r>
        <w:r w:rsidR="009811A9">
          <w:rPr>
            <w:noProof/>
            <w:webHidden/>
          </w:rPr>
          <w:instrText xml:space="preserve"> PAGEREF _Toc144896478 \h </w:instrText>
        </w:r>
        <w:r w:rsidR="009811A9">
          <w:rPr>
            <w:noProof/>
            <w:webHidden/>
          </w:rPr>
        </w:r>
        <w:r w:rsidR="009811A9">
          <w:rPr>
            <w:noProof/>
            <w:webHidden/>
          </w:rPr>
          <w:fldChar w:fldCharType="separate"/>
        </w:r>
        <w:r w:rsidR="009811A9">
          <w:rPr>
            <w:noProof/>
            <w:webHidden/>
          </w:rPr>
          <w:t>7</w:t>
        </w:r>
        <w:r w:rsidR="009811A9">
          <w:rPr>
            <w:noProof/>
            <w:webHidden/>
          </w:rPr>
          <w:fldChar w:fldCharType="end"/>
        </w:r>
      </w:hyperlink>
    </w:p>
    <w:p w14:paraId="44139398" w14:textId="00924F6E"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79" w:history="1">
        <w:r w:rsidR="009811A9" w:rsidRPr="00FC00B4">
          <w:rPr>
            <w:rStyle w:val="Hyperlink"/>
            <w:noProof/>
          </w:rPr>
          <w:t>2.5.</w:t>
        </w:r>
        <w:r w:rsidR="009811A9">
          <w:rPr>
            <w:rFonts w:eastAsiaTheme="minorEastAsia" w:cstheme="minorBidi"/>
            <w:smallCaps w:val="0"/>
            <w:noProof/>
            <w:sz w:val="22"/>
            <w:szCs w:val="22"/>
            <w:lang w:eastAsia="nl-NL"/>
          </w:rPr>
          <w:tab/>
        </w:r>
        <w:r w:rsidR="009811A9" w:rsidRPr="00FC00B4">
          <w:rPr>
            <w:rStyle w:val="Hyperlink"/>
            <w:noProof/>
          </w:rPr>
          <w:t>Capaciteitstekort</w:t>
        </w:r>
        <w:r w:rsidR="009811A9">
          <w:rPr>
            <w:noProof/>
            <w:webHidden/>
          </w:rPr>
          <w:tab/>
        </w:r>
        <w:r w:rsidR="009811A9">
          <w:rPr>
            <w:noProof/>
            <w:webHidden/>
          </w:rPr>
          <w:fldChar w:fldCharType="begin"/>
        </w:r>
        <w:r w:rsidR="009811A9">
          <w:rPr>
            <w:noProof/>
            <w:webHidden/>
          </w:rPr>
          <w:instrText xml:space="preserve"> PAGEREF _Toc144896479 \h </w:instrText>
        </w:r>
        <w:r w:rsidR="009811A9">
          <w:rPr>
            <w:noProof/>
            <w:webHidden/>
          </w:rPr>
        </w:r>
        <w:r w:rsidR="009811A9">
          <w:rPr>
            <w:noProof/>
            <w:webHidden/>
          </w:rPr>
          <w:fldChar w:fldCharType="separate"/>
        </w:r>
        <w:r w:rsidR="009811A9">
          <w:rPr>
            <w:noProof/>
            <w:webHidden/>
          </w:rPr>
          <w:t>8</w:t>
        </w:r>
        <w:r w:rsidR="009811A9">
          <w:rPr>
            <w:noProof/>
            <w:webHidden/>
          </w:rPr>
          <w:fldChar w:fldCharType="end"/>
        </w:r>
      </w:hyperlink>
    </w:p>
    <w:p w14:paraId="3E1202D0" w14:textId="2BA3D6EE"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80" w:history="1">
        <w:r w:rsidR="009811A9" w:rsidRPr="00FC00B4">
          <w:rPr>
            <w:rStyle w:val="Hyperlink"/>
            <w:noProof/>
          </w:rPr>
          <w:t>2.6.</w:t>
        </w:r>
        <w:r w:rsidR="009811A9">
          <w:rPr>
            <w:rFonts w:eastAsiaTheme="minorEastAsia" w:cstheme="minorBidi"/>
            <w:smallCaps w:val="0"/>
            <w:noProof/>
            <w:sz w:val="22"/>
            <w:szCs w:val="22"/>
            <w:lang w:eastAsia="nl-NL"/>
          </w:rPr>
          <w:tab/>
        </w:r>
        <w:r w:rsidR="009811A9" w:rsidRPr="00FC00B4">
          <w:rPr>
            <w:rStyle w:val="Hyperlink"/>
            <w:noProof/>
          </w:rPr>
          <w:t>Onveilig gedrag en gebrek aan awareness</w:t>
        </w:r>
        <w:r w:rsidR="009811A9">
          <w:rPr>
            <w:noProof/>
            <w:webHidden/>
          </w:rPr>
          <w:tab/>
        </w:r>
        <w:r w:rsidR="009811A9">
          <w:rPr>
            <w:noProof/>
            <w:webHidden/>
          </w:rPr>
          <w:fldChar w:fldCharType="begin"/>
        </w:r>
        <w:r w:rsidR="009811A9">
          <w:rPr>
            <w:noProof/>
            <w:webHidden/>
          </w:rPr>
          <w:instrText xml:space="preserve"> PAGEREF _Toc144896480 \h </w:instrText>
        </w:r>
        <w:r w:rsidR="009811A9">
          <w:rPr>
            <w:noProof/>
            <w:webHidden/>
          </w:rPr>
        </w:r>
        <w:r w:rsidR="009811A9">
          <w:rPr>
            <w:noProof/>
            <w:webHidden/>
          </w:rPr>
          <w:fldChar w:fldCharType="separate"/>
        </w:r>
        <w:r w:rsidR="009811A9">
          <w:rPr>
            <w:noProof/>
            <w:webHidden/>
          </w:rPr>
          <w:t>8</w:t>
        </w:r>
        <w:r w:rsidR="009811A9">
          <w:rPr>
            <w:noProof/>
            <w:webHidden/>
          </w:rPr>
          <w:fldChar w:fldCharType="end"/>
        </w:r>
      </w:hyperlink>
    </w:p>
    <w:p w14:paraId="5402C22C" w14:textId="3F967BE7"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81" w:history="1">
        <w:r w:rsidR="009811A9" w:rsidRPr="00FC00B4">
          <w:rPr>
            <w:rStyle w:val="Hyperlink"/>
            <w:rFonts w:eastAsia="Times New Roman"/>
            <w:noProof/>
          </w:rPr>
          <w:t>2.7.</w:t>
        </w:r>
        <w:r w:rsidR="009811A9">
          <w:rPr>
            <w:rFonts w:eastAsiaTheme="minorEastAsia" w:cstheme="minorBidi"/>
            <w:smallCaps w:val="0"/>
            <w:noProof/>
            <w:sz w:val="22"/>
            <w:szCs w:val="22"/>
            <w:lang w:eastAsia="nl-NL"/>
          </w:rPr>
          <w:tab/>
        </w:r>
        <w:r w:rsidR="009811A9" w:rsidRPr="00FC00B4">
          <w:rPr>
            <w:rStyle w:val="Hyperlink"/>
            <w:rFonts w:eastAsia="Times New Roman"/>
            <w:noProof/>
          </w:rPr>
          <w:t>DPIA’s van verschillende applicaties</w:t>
        </w:r>
        <w:r w:rsidR="009811A9">
          <w:rPr>
            <w:noProof/>
            <w:webHidden/>
          </w:rPr>
          <w:tab/>
        </w:r>
        <w:r w:rsidR="009811A9">
          <w:rPr>
            <w:noProof/>
            <w:webHidden/>
          </w:rPr>
          <w:fldChar w:fldCharType="begin"/>
        </w:r>
        <w:r w:rsidR="009811A9">
          <w:rPr>
            <w:noProof/>
            <w:webHidden/>
          </w:rPr>
          <w:instrText xml:space="preserve"> PAGEREF _Toc144896481 \h </w:instrText>
        </w:r>
        <w:r w:rsidR="009811A9">
          <w:rPr>
            <w:noProof/>
            <w:webHidden/>
          </w:rPr>
        </w:r>
        <w:r w:rsidR="009811A9">
          <w:rPr>
            <w:noProof/>
            <w:webHidden/>
          </w:rPr>
          <w:fldChar w:fldCharType="separate"/>
        </w:r>
        <w:r w:rsidR="009811A9">
          <w:rPr>
            <w:noProof/>
            <w:webHidden/>
          </w:rPr>
          <w:t>9</w:t>
        </w:r>
        <w:r w:rsidR="009811A9">
          <w:rPr>
            <w:noProof/>
            <w:webHidden/>
          </w:rPr>
          <w:fldChar w:fldCharType="end"/>
        </w:r>
      </w:hyperlink>
    </w:p>
    <w:p w14:paraId="08DFFF4F" w14:textId="21B27654"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82" w:history="1">
        <w:r w:rsidR="009811A9" w:rsidRPr="00FC00B4">
          <w:rPr>
            <w:rStyle w:val="Hyperlink"/>
            <w:rFonts w:eastAsia="Times New Roman"/>
            <w:noProof/>
          </w:rPr>
          <w:t>2.8.</w:t>
        </w:r>
        <w:r w:rsidR="009811A9">
          <w:rPr>
            <w:rFonts w:eastAsiaTheme="minorEastAsia" w:cstheme="minorBidi"/>
            <w:smallCaps w:val="0"/>
            <w:noProof/>
            <w:sz w:val="22"/>
            <w:szCs w:val="22"/>
            <w:lang w:eastAsia="nl-NL"/>
          </w:rPr>
          <w:tab/>
        </w:r>
        <w:r w:rsidR="009811A9" w:rsidRPr="00FC00B4">
          <w:rPr>
            <w:rStyle w:val="Hyperlink"/>
            <w:rFonts w:eastAsia="Times New Roman"/>
            <w:noProof/>
          </w:rPr>
          <w:t>Te mitigeren risico’s vanaf 2023</w:t>
        </w:r>
        <w:r w:rsidR="009811A9">
          <w:rPr>
            <w:noProof/>
            <w:webHidden/>
          </w:rPr>
          <w:tab/>
        </w:r>
        <w:r w:rsidR="009811A9">
          <w:rPr>
            <w:noProof/>
            <w:webHidden/>
          </w:rPr>
          <w:fldChar w:fldCharType="begin"/>
        </w:r>
        <w:r w:rsidR="009811A9">
          <w:rPr>
            <w:noProof/>
            <w:webHidden/>
          </w:rPr>
          <w:instrText xml:space="preserve"> PAGEREF _Toc144896482 \h </w:instrText>
        </w:r>
        <w:r w:rsidR="009811A9">
          <w:rPr>
            <w:noProof/>
            <w:webHidden/>
          </w:rPr>
        </w:r>
        <w:r w:rsidR="009811A9">
          <w:rPr>
            <w:noProof/>
            <w:webHidden/>
          </w:rPr>
          <w:fldChar w:fldCharType="separate"/>
        </w:r>
        <w:r w:rsidR="009811A9">
          <w:rPr>
            <w:noProof/>
            <w:webHidden/>
          </w:rPr>
          <w:t>9</w:t>
        </w:r>
        <w:r w:rsidR="009811A9">
          <w:rPr>
            <w:noProof/>
            <w:webHidden/>
          </w:rPr>
          <w:fldChar w:fldCharType="end"/>
        </w:r>
      </w:hyperlink>
    </w:p>
    <w:p w14:paraId="14522DB4" w14:textId="6311D9E1" w:rsidR="009811A9" w:rsidRDefault="00846082">
      <w:pPr>
        <w:pStyle w:val="Inhopg1"/>
        <w:rPr>
          <w:rFonts w:eastAsiaTheme="minorEastAsia" w:cstheme="minorBidi"/>
          <w:b w:val="0"/>
          <w:bCs w:val="0"/>
          <w:caps w:val="0"/>
          <w:noProof/>
          <w:sz w:val="22"/>
          <w:szCs w:val="22"/>
          <w:lang w:eastAsia="nl-NL"/>
        </w:rPr>
      </w:pPr>
      <w:hyperlink w:anchor="_Toc144896483" w:history="1">
        <w:r w:rsidR="009811A9" w:rsidRPr="00FC00B4">
          <w:rPr>
            <w:rStyle w:val="Hyperlink"/>
            <w:noProof/>
          </w:rPr>
          <w:t>Bijlage 1: Risico’s plotten op NBA statements</w:t>
        </w:r>
        <w:r w:rsidR="009811A9">
          <w:rPr>
            <w:noProof/>
            <w:webHidden/>
          </w:rPr>
          <w:tab/>
        </w:r>
        <w:r w:rsidR="009811A9">
          <w:rPr>
            <w:noProof/>
            <w:webHidden/>
          </w:rPr>
          <w:fldChar w:fldCharType="begin"/>
        </w:r>
        <w:r w:rsidR="009811A9">
          <w:rPr>
            <w:noProof/>
            <w:webHidden/>
          </w:rPr>
          <w:instrText xml:space="preserve"> PAGEREF _Toc144896483 \h </w:instrText>
        </w:r>
        <w:r w:rsidR="009811A9">
          <w:rPr>
            <w:noProof/>
            <w:webHidden/>
          </w:rPr>
        </w:r>
        <w:r w:rsidR="009811A9">
          <w:rPr>
            <w:noProof/>
            <w:webHidden/>
          </w:rPr>
          <w:fldChar w:fldCharType="separate"/>
        </w:r>
        <w:r w:rsidR="009811A9">
          <w:rPr>
            <w:noProof/>
            <w:webHidden/>
          </w:rPr>
          <w:t>10</w:t>
        </w:r>
        <w:r w:rsidR="009811A9">
          <w:rPr>
            <w:noProof/>
            <w:webHidden/>
          </w:rPr>
          <w:fldChar w:fldCharType="end"/>
        </w:r>
      </w:hyperlink>
    </w:p>
    <w:p w14:paraId="2FB0081E" w14:textId="70CBBCB7" w:rsidR="009811A9" w:rsidRDefault="00846082">
      <w:pPr>
        <w:pStyle w:val="Inhopg1"/>
        <w:rPr>
          <w:rFonts w:eastAsiaTheme="minorEastAsia" w:cstheme="minorBidi"/>
          <w:b w:val="0"/>
          <w:bCs w:val="0"/>
          <w:caps w:val="0"/>
          <w:noProof/>
          <w:sz w:val="22"/>
          <w:szCs w:val="22"/>
          <w:lang w:eastAsia="nl-NL"/>
        </w:rPr>
      </w:pPr>
      <w:hyperlink w:anchor="_Toc144896484" w:history="1">
        <w:r w:rsidR="009811A9" w:rsidRPr="00FC00B4">
          <w:rPr>
            <w:rStyle w:val="Hyperlink"/>
            <w:rFonts w:eastAsia="Times New Roman"/>
            <w:noProof/>
          </w:rPr>
          <w:t>Bijlage 2: Geplotte statements per cyberdreiging</w:t>
        </w:r>
        <w:r w:rsidR="009811A9">
          <w:rPr>
            <w:noProof/>
            <w:webHidden/>
          </w:rPr>
          <w:tab/>
        </w:r>
        <w:r w:rsidR="009811A9">
          <w:rPr>
            <w:noProof/>
            <w:webHidden/>
          </w:rPr>
          <w:fldChar w:fldCharType="begin"/>
        </w:r>
        <w:r w:rsidR="009811A9">
          <w:rPr>
            <w:noProof/>
            <w:webHidden/>
          </w:rPr>
          <w:instrText xml:space="preserve"> PAGEREF _Toc144896484 \h </w:instrText>
        </w:r>
        <w:r w:rsidR="009811A9">
          <w:rPr>
            <w:noProof/>
            <w:webHidden/>
          </w:rPr>
        </w:r>
        <w:r w:rsidR="009811A9">
          <w:rPr>
            <w:noProof/>
            <w:webHidden/>
          </w:rPr>
          <w:fldChar w:fldCharType="separate"/>
        </w:r>
        <w:r w:rsidR="009811A9">
          <w:rPr>
            <w:noProof/>
            <w:webHidden/>
          </w:rPr>
          <w:t>13</w:t>
        </w:r>
        <w:r w:rsidR="009811A9">
          <w:rPr>
            <w:noProof/>
            <w:webHidden/>
          </w:rPr>
          <w:fldChar w:fldCharType="end"/>
        </w:r>
      </w:hyperlink>
    </w:p>
    <w:p w14:paraId="0F342372" w14:textId="14666C5B" w:rsidR="009811A9" w:rsidRDefault="00846082">
      <w:pPr>
        <w:pStyle w:val="Inhopg2"/>
        <w:tabs>
          <w:tab w:val="left" w:pos="1200"/>
          <w:tab w:val="right" w:leader="dot" w:pos="13994"/>
        </w:tabs>
        <w:rPr>
          <w:rFonts w:eastAsiaTheme="minorEastAsia" w:cstheme="minorBidi"/>
          <w:smallCaps w:val="0"/>
          <w:noProof/>
          <w:sz w:val="22"/>
          <w:szCs w:val="22"/>
          <w:lang w:eastAsia="nl-NL"/>
        </w:rPr>
      </w:pPr>
      <w:hyperlink w:anchor="_Toc144896485" w:history="1">
        <w:r w:rsidR="009811A9" w:rsidRPr="00FC00B4">
          <w:rPr>
            <w:rStyle w:val="Hyperlink"/>
            <w:noProof/>
          </w:rPr>
          <w:t>Bijlage 1:</w:t>
        </w:r>
        <w:r w:rsidR="009811A9">
          <w:rPr>
            <w:rFonts w:eastAsiaTheme="minorEastAsia" w:cstheme="minorBidi"/>
            <w:smallCaps w:val="0"/>
            <w:noProof/>
            <w:sz w:val="22"/>
            <w:szCs w:val="22"/>
            <w:lang w:eastAsia="nl-NL"/>
          </w:rPr>
          <w:tab/>
        </w:r>
        <w:r w:rsidR="009811A9" w:rsidRPr="00FC00B4">
          <w:rPr>
            <w:rStyle w:val="Hyperlink"/>
            <w:noProof/>
          </w:rPr>
          <w:t xml:space="preserve">Gehanteerde classificatiemethodiek </w:t>
        </w:r>
        <w:r w:rsidR="009811A9">
          <w:rPr>
            <w:noProof/>
            <w:webHidden/>
          </w:rPr>
          <w:tab/>
        </w:r>
        <w:r w:rsidR="009811A9">
          <w:rPr>
            <w:noProof/>
            <w:webHidden/>
          </w:rPr>
          <w:fldChar w:fldCharType="begin"/>
        </w:r>
        <w:r w:rsidR="009811A9">
          <w:rPr>
            <w:noProof/>
            <w:webHidden/>
          </w:rPr>
          <w:instrText xml:space="preserve"> PAGEREF _Toc144896485 \h </w:instrText>
        </w:r>
        <w:r w:rsidR="009811A9">
          <w:rPr>
            <w:noProof/>
            <w:webHidden/>
          </w:rPr>
        </w:r>
        <w:r w:rsidR="009811A9">
          <w:rPr>
            <w:noProof/>
            <w:webHidden/>
          </w:rPr>
          <w:fldChar w:fldCharType="separate"/>
        </w:r>
        <w:r w:rsidR="009811A9">
          <w:rPr>
            <w:noProof/>
            <w:webHidden/>
          </w:rPr>
          <w:t>21</w:t>
        </w:r>
        <w:r w:rsidR="009811A9">
          <w:rPr>
            <w:noProof/>
            <w:webHidden/>
          </w:rPr>
          <w:fldChar w:fldCharType="end"/>
        </w:r>
      </w:hyperlink>
    </w:p>
    <w:p w14:paraId="5E4076E6" w14:textId="3F08C1C8" w:rsidR="009811A9" w:rsidRDefault="00846082">
      <w:pPr>
        <w:pStyle w:val="Inhopg2"/>
        <w:tabs>
          <w:tab w:val="left" w:pos="800"/>
          <w:tab w:val="right" w:leader="dot" w:pos="13994"/>
        </w:tabs>
        <w:rPr>
          <w:rFonts w:eastAsiaTheme="minorEastAsia" w:cstheme="minorBidi"/>
          <w:smallCaps w:val="0"/>
          <w:noProof/>
          <w:sz w:val="22"/>
          <w:szCs w:val="22"/>
          <w:lang w:eastAsia="nl-NL"/>
        </w:rPr>
      </w:pPr>
      <w:hyperlink w:anchor="_Toc144896486" w:history="1">
        <w:r w:rsidR="009811A9" w:rsidRPr="00FC00B4">
          <w:rPr>
            <w:rStyle w:val="Hyperlink"/>
            <w:rFonts w:eastAsia="Times New Roman"/>
            <w:noProof/>
          </w:rPr>
          <w:t>2.9.</w:t>
        </w:r>
        <w:r w:rsidR="009811A9">
          <w:rPr>
            <w:rFonts w:eastAsiaTheme="minorEastAsia" w:cstheme="minorBidi"/>
            <w:smallCaps w:val="0"/>
            <w:noProof/>
            <w:sz w:val="22"/>
            <w:szCs w:val="22"/>
            <w:lang w:eastAsia="nl-NL"/>
          </w:rPr>
          <w:tab/>
        </w:r>
        <w:r w:rsidR="009811A9" w:rsidRPr="00FC00B4">
          <w:rPr>
            <w:rStyle w:val="Hyperlink"/>
            <w:rFonts w:eastAsia="Times New Roman"/>
            <w:noProof/>
          </w:rPr>
          <w:t>Risico beoordeling</w:t>
        </w:r>
        <w:r w:rsidR="009811A9">
          <w:rPr>
            <w:noProof/>
            <w:webHidden/>
          </w:rPr>
          <w:tab/>
        </w:r>
        <w:r w:rsidR="009811A9">
          <w:rPr>
            <w:noProof/>
            <w:webHidden/>
          </w:rPr>
          <w:fldChar w:fldCharType="begin"/>
        </w:r>
        <w:r w:rsidR="009811A9">
          <w:rPr>
            <w:noProof/>
            <w:webHidden/>
          </w:rPr>
          <w:instrText xml:space="preserve"> PAGEREF _Toc144896486 \h </w:instrText>
        </w:r>
        <w:r w:rsidR="009811A9">
          <w:rPr>
            <w:noProof/>
            <w:webHidden/>
          </w:rPr>
        </w:r>
        <w:r w:rsidR="009811A9">
          <w:rPr>
            <w:noProof/>
            <w:webHidden/>
          </w:rPr>
          <w:fldChar w:fldCharType="separate"/>
        </w:r>
        <w:r w:rsidR="009811A9">
          <w:rPr>
            <w:noProof/>
            <w:webHidden/>
          </w:rPr>
          <w:t>22</w:t>
        </w:r>
        <w:r w:rsidR="009811A9">
          <w:rPr>
            <w:noProof/>
            <w:webHidden/>
          </w:rPr>
          <w:fldChar w:fldCharType="end"/>
        </w:r>
      </w:hyperlink>
    </w:p>
    <w:p w14:paraId="17F63D28" w14:textId="6A1E2F04"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3D35A363" w14:textId="2A395ED3" w:rsidR="000F64CC" w:rsidRPr="000F64CC" w:rsidRDefault="00164498" w:rsidP="004D2539">
      <w:pPr>
        <w:pStyle w:val="Kop1"/>
      </w:pPr>
      <w:r w:rsidRPr="00C55BFD">
        <w:rPr>
          <w:lang w:eastAsia="nl-NL"/>
        </w:rPr>
        <w:br w:type="page"/>
      </w:r>
      <w:bookmarkStart w:id="2" w:name="_Toc144896463"/>
      <w:r w:rsidR="00A76C5C">
        <w:lastRenderedPageBreak/>
        <w:t>Inleiding</w:t>
      </w:r>
      <w:bookmarkEnd w:id="2"/>
    </w:p>
    <w:p w14:paraId="4DC9E408" w14:textId="07CC9507" w:rsidR="000F64CC" w:rsidRPr="000F64CC" w:rsidRDefault="00A76C5C" w:rsidP="00851E38">
      <w:pPr>
        <w:pStyle w:val="Kop2"/>
      </w:pPr>
      <w:bookmarkStart w:id="3" w:name="_Toc144896464"/>
      <w:r>
        <w:t>Aanleiding</w:t>
      </w:r>
      <w:bookmarkEnd w:id="3"/>
    </w:p>
    <w:p w14:paraId="107C489C" w14:textId="06ECCCF4" w:rsidR="00B60B42" w:rsidRDefault="000F64CC" w:rsidP="000F64CC">
      <w:pPr>
        <w:jc w:val="both"/>
      </w:pPr>
      <w:r w:rsidRPr="000F64CC">
        <w:t xml:space="preserve">Het onderwerp </w:t>
      </w:r>
      <w:r w:rsidR="00525E4F">
        <w:t>I</w:t>
      </w:r>
      <w:r w:rsidRPr="000F64CC">
        <w:t xml:space="preserve">nformatiebeveiliging en </w:t>
      </w:r>
      <w:r w:rsidR="00525E4F">
        <w:t>P</w:t>
      </w:r>
      <w:r w:rsidRPr="000F64CC">
        <w:t xml:space="preserve">rivacy </w:t>
      </w:r>
      <w:r w:rsidR="00525E4F" w:rsidRPr="00525E4F">
        <w:t>(afgekort tot IBP)</w:t>
      </w:r>
      <w:r w:rsidRPr="000F64CC">
        <w:t xml:space="preserve"> </w:t>
      </w:r>
      <w:r w:rsidR="00725051">
        <w:t>staat</w:t>
      </w:r>
      <w:r w:rsidRPr="000F64CC">
        <w:t xml:space="preserve"> </w:t>
      </w:r>
      <w:r w:rsidR="00725051">
        <w:t xml:space="preserve">prominent </w:t>
      </w:r>
      <w:r w:rsidRPr="000F64CC">
        <w:t xml:space="preserve">op de agenda van </w:t>
      </w:r>
      <w:r w:rsidR="009811A9">
        <w:t>Security Nederland</w:t>
      </w:r>
      <w:r w:rsidRPr="000F64CC">
        <w:t xml:space="preserve">. In het onderwijs worden steeds meer gegevens bijgehouden en </w:t>
      </w:r>
      <w:r w:rsidR="009811A9">
        <w:t>Security Nederland</w:t>
      </w:r>
      <w:r w:rsidRPr="000F64CC">
        <w:t xml:space="preserve"> realiseert zich hoe belangrijk het is om op een goede en veilige manier met deze informatie om te gaan. Dit geldt zeker voor alle persoonsgegevens die </w:t>
      </w:r>
      <w:r w:rsidR="009811A9">
        <w:t>Security Nederland</w:t>
      </w:r>
      <w:r w:rsidRPr="000F64CC">
        <w:t xml:space="preserve"> beheert. </w:t>
      </w:r>
    </w:p>
    <w:p w14:paraId="74DD3DBD" w14:textId="77777777" w:rsidR="00A76C5C" w:rsidRPr="00A76C5C" w:rsidRDefault="00A76C5C" w:rsidP="00A76C5C">
      <w:pPr>
        <w:contextualSpacing w:val="0"/>
        <w:rPr>
          <w:szCs w:val="22"/>
          <w:lang w:eastAsia="nl-NL"/>
        </w:rPr>
      </w:pPr>
      <w:r w:rsidRPr="00A76C5C">
        <w:rPr>
          <w:szCs w:val="22"/>
          <w:lang w:eastAsia="nl-NL"/>
        </w:rPr>
        <w:t>Ondernemen is risico’s nemen. Een organisatie en dus ook een onderwijsinstelling dient daarom een gezonde, verstandige afweging te maken tussen risico’s, maatregelen en bedrijfsbelang. Dit geldt ook als het gaat om de beschikbaarheid, integriteit en vertrouwelijkheid van informatie. Om deze aspecten van informatie en de ondersteunende processen, systemen en netwerken te kunnen waarborgen, dienen organisaties diverse maatregelen te treffen. Aan het treffen van deze maatregelen gaat een risicoanalyse vooraf. Hierdoor kunnen risico’s die van invloed zijn op genoemde aspecten op een evenwichtige wijze worden geïnventariseerd, beheerst en gereduceerd tot een voor de organisatie aanvaardbaar niveau. De onderwijsinstelling maakt gebruik van een Informatie risicomanagement framework om de risico’s in kaart te brengen.</w:t>
      </w:r>
    </w:p>
    <w:p w14:paraId="66967E09" w14:textId="77777777" w:rsidR="00A76C5C" w:rsidRPr="00A76C5C" w:rsidRDefault="00A76C5C" w:rsidP="00A76C5C">
      <w:pPr>
        <w:contextualSpacing w:val="0"/>
        <w:rPr>
          <w:szCs w:val="22"/>
          <w:lang w:eastAsia="nl-NL"/>
        </w:rPr>
      </w:pPr>
    </w:p>
    <w:tbl>
      <w:tblPr>
        <w:tblStyle w:val="Tabelraster20"/>
        <w:tblW w:w="0" w:type="auto"/>
        <w:tblLook w:val="04A0" w:firstRow="1" w:lastRow="0" w:firstColumn="1" w:lastColumn="0" w:noHBand="0" w:noVBand="1"/>
      </w:tblPr>
      <w:tblGrid>
        <w:gridCol w:w="2547"/>
        <w:gridCol w:w="8788"/>
      </w:tblGrid>
      <w:tr w:rsidR="00A76C5C" w:rsidRPr="00A76C5C" w14:paraId="53F19E8A" w14:textId="77777777" w:rsidTr="00751390">
        <w:tc>
          <w:tcPr>
            <w:tcW w:w="2547" w:type="dxa"/>
            <w:shd w:val="clear" w:color="auto" w:fill="DBE5F1"/>
          </w:tcPr>
          <w:p w14:paraId="366E1249" w14:textId="77777777" w:rsidR="00A76C5C" w:rsidRPr="00A76C5C" w:rsidRDefault="00A76C5C" w:rsidP="00A76C5C">
            <w:pPr>
              <w:contextualSpacing w:val="0"/>
              <w:rPr>
                <w:b/>
                <w:bCs/>
                <w:color w:val="0070C0"/>
              </w:rPr>
            </w:pPr>
            <w:r w:rsidRPr="00A76C5C">
              <w:rPr>
                <w:b/>
                <w:bCs/>
                <w:color w:val="0070C0"/>
              </w:rPr>
              <w:t>Internal audits</w:t>
            </w:r>
          </w:p>
          <w:p w14:paraId="37C04D64" w14:textId="77777777" w:rsidR="00A76C5C" w:rsidRPr="00A76C5C" w:rsidRDefault="00A76C5C" w:rsidP="00A76C5C">
            <w:pPr>
              <w:rPr>
                <w:color w:val="0070C0"/>
                <w:lang w:eastAsia="nl-NL"/>
              </w:rPr>
            </w:pPr>
            <w:r w:rsidRPr="00A76C5C">
              <w:rPr>
                <w:color w:val="0070C0"/>
              </w:rPr>
              <w:t>(proceseigenaren)</w:t>
            </w:r>
          </w:p>
        </w:tc>
        <w:tc>
          <w:tcPr>
            <w:tcW w:w="8788" w:type="dxa"/>
            <w:shd w:val="clear" w:color="auto" w:fill="FF0000"/>
          </w:tcPr>
          <w:p w14:paraId="6765CB1E" w14:textId="77777777" w:rsidR="00A76C5C" w:rsidRPr="00A76C5C" w:rsidRDefault="00A76C5C" w:rsidP="007D3670">
            <w:pPr>
              <w:widowControl w:val="0"/>
              <w:numPr>
                <w:ilvl w:val="0"/>
                <w:numId w:val="3"/>
              </w:numPr>
              <w:ind w:left="181" w:hanging="146"/>
              <w:contextualSpacing w:val="0"/>
              <w:rPr>
                <w:b/>
                <w:bCs/>
                <w:color w:val="FFFFFF"/>
              </w:rPr>
            </w:pPr>
            <w:r w:rsidRPr="00A76C5C">
              <w:rPr>
                <w:b/>
                <w:bCs/>
                <w:color w:val="FFFFFF"/>
              </w:rPr>
              <w:t>Informatiebeveiliging NBA (=toetsingskader SURF)</w:t>
            </w:r>
          </w:p>
          <w:p w14:paraId="472E3D47" w14:textId="77777777" w:rsidR="00A76C5C" w:rsidRPr="00A76C5C" w:rsidRDefault="00A76C5C" w:rsidP="00A76C5C">
            <w:pPr>
              <w:widowControl w:val="0"/>
              <w:ind w:left="181"/>
              <w:rPr>
                <w:color w:val="FFFFFF"/>
              </w:rPr>
            </w:pPr>
            <w:r w:rsidRPr="00A76C5C">
              <w:rPr>
                <w:color w:val="FFFFFF"/>
              </w:rPr>
              <w:t>Afspraak om vóór 31-12-2023 alle statements scoren gemiddeld op volwassenheidsniveau 3.</w:t>
            </w:r>
          </w:p>
        </w:tc>
      </w:tr>
      <w:tr w:rsidR="00A76C5C" w:rsidRPr="00A76C5C" w14:paraId="6C108AF9" w14:textId="77777777" w:rsidTr="00751390">
        <w:tc>
          <w:tcPr>
            <w:tcW w:w="2547" w:type="dxa"/>
            <w:shd w:val="clear" w:color="auto" w:fill="DBE5F1"/>
          </w:tcPr>
          <w:p w14:paraId="775BF47D" w14:textId="77777777" w:rsidR="00A76C5C" w:rsidRPr="00A76C5C" w:rsidRDefault="00A76C5C" w:rsidP="00A76C5C">
            <w:pPr>
              <w:rPr>
                <w:b/>
                <w:bCs/>
                <w:color w:val="0070C0"/>
              </w:rPr>
            </w:pPr>
            <w:r w:rsidRPr="00A76C5C">
              <w:rPr>
                <w:b/>
                <w:bCs/>
                <w:color w:val="0070C0"/>
                <w:lang w:eastAsia="nl-NL"/>
              </w:rPr>
              <w:t>Cyberdreigingsbeeld SURF</w:t>
            </w:r>
          </w:p>
        </w:tc>
        <w:tc>
          <w:tcPr>
            <w:tcW w:w="8788" w:type="dxa"/>
            <w:shd w:val="clear" w:color="auto" w:fill="FFFF00"/>
            <w:tcMar>
              <w:right w:w="28" w:type="dxa"/>
            </w:tcMar>
          </w:tcPr>
          <w:p w14:paraId="1DBF4FE1" w14:textId="77777777" w:rsidR="00A76C5C" w:rsidRPr="00A76C5C" w:rsidRDefault="00A76C5C" w:rsidP="00A76C5C">
            <w:pPr>
              <w:ind w:left="181" w:hanging="146"/>
              <w:contextualSpacing w:val="0"/>
              <w:rPr>
                <w:lang w:eastAsia="nl-NL"/>
              </w:rPr>
            </w:pPr>
            <w:r w:rsidRPr="00A76C5C">
              <w:rPr>
                <w:lang w:eastAsia="nl-NL"/>
              </w:rPr>
              <w:t xml:space="preserve">Risico’s zijn tot stand gekomen op basis van overleg met alle deelnemende HO en mbo instellingen. </w:t>
            </w:r>
          </w:p>
          <w:p w14:paraId="4F6836F1" w14:textId="77777777" w:rsidR="00A76C5C" w:rsidRPr="00A76C5C" w:rsidRDefault="00A76C5C" w:rsidP="00A76C5C">
            <w:pPr>
              <w:ind w:left="181" w:hanging="146"/>
              <w:contextualSpacing w:val="0"/>
              <w:rPr>
                <w:lang w:eastAsia="nl-NL"/>
              </w:rPr>
            </w:pPr>
            <w:r w:rsidRPr="00A76C5C">
              <w:rPr>
                <w:lang w:eastAsia="nl-NL"/>
              </w:rPr>
              <w:t>Risico’s worden overgenomen door onderwijsinstelling.</w:t>
            </w:r>
          </w:p>
        </w:tc>
      </w:tr>
      <w:tr w:rsidR="00A76C5C" w:rsidRPr="00A76C5C" w14:paraId="6F5BAA86" w14:textId="77777777" w:rsidTr="00751390">
        <w:tc>
          <w:tcPr>
            <w:tcW w:w="2547" w:type="dxa"/>
            <w:shd w:val="clear" w:color="auto" w:fill="DBE5F1"/>
          </w:tcPr>
          <w:p w14:paraId="51B060FA" w14:textId="77777777" w:rsidR="00A76C5C" w:rsidRPr="00A76C5C" w:rsidRDefault="00A76C5C" w:rsidP="00A76C5C">
            <w:pPr>
              <w:contextualSpacing w:val="0"/>
              <w:rPr>
                <w:b/>
                <w:bCs/>
                <w:color w:val="0070C0"/>
              </w:rPr>
            </w:pPr>
            <w:r w:rsidRPr="00A76C5C">
              <w:rPr>
                <w:b/>
                <w:bCs/>
                <w:color w:val="0070C0"/>
              </w:rPr>
              <w:t>DPIA’s kernapplicaties</w:t>
            </w:r>
          </w:p>
          <w:p w14:paraId="76852DA9" w14:textId="77777777" w:rsidR="00A76C5C" w:rsidRPr="00A76C5C" w:rsidRDefault="00A76C5C" w:rsidP="00A76C5C">
            <w:pPr>
              <w:rPr>
                <w:color w:val="0070C0"/>
              </w:rPr>
            </w:pPr>
            <w:r w:rsidRPr="00A76C5C">
              <w:rPr>
                <w:color w:val="0070C0"/>
              </w:rPr>
              <w:t>(applicatie-eigenaren)</w:t>
            </w:r>
          </w:p>
          <w:p w14:paraId="6E359A3D" w14:textId="77777777" w:rsidR="00A76C5C" w:rsidRPr="00A76C5C" w:rsidRDefault="00A76C5C" w:rsidP="00A76C5C">
            <w:pPr>
              <w:rPr>
                <w:i/>
                <w:iCs/>
                <w:color w:val="FF0000"/>
                <w:lang w:eastAsia="nl-NL"/>
              </w:rPr>
            </w:pPr>
            <w:r w:rsidRPr="00A76C5C">
              <w:rPr>
                <w:i/>
                <w:iCs/>
                <w:color w:val="FF0000"/>
              </w:rPr>
              <w:t>Voorbeeld onderwijsinstelling -&gt;</w:t>
            </w:r>
          </w:p>
        </w:tc>
        <w:tc>
          <w:tcPr>
            <w:tcW w:w="8788" w:type="dxa"/>
            <w:tcMar>
              <w:right w:w="28" w:type="dxa"/>
            </w:tcMar>
          </w:tcPr>
          <w:p w14:paraId="196AFB17" w14:textId="77777777" w:rsidR="00A76C5C" w:rsidRPr="00A76C5C" w:rsidRDefault="00A76C5C" w:rsidP="00A76C5C">
            <w:pPr>
              <w:ind w:left="181" w:hanging="146"/>
              <w:contextualSpacing w:val="0"/>
              <w:rPr>
                <w:i/>
                <w:iCs/>
                <w:lang w:eastAsia="nl-NL"/>
              </w:rPr>
            </w:pPr>
            <w:r w:rsidRPr="00A76C5C">
              <w:rPr>
                <w:i/>
                <w:iCs/>
                <w:lang w:eastAsia="nl-NL"/>
              </w:rPr>
              <w:t>1 Studenten Informatiesysteem: Eduarte</w:t>
            </w:r>
          </w:p>
          <w:p w14:paraId="382F6E9B" w14:textId="77777777" w:rsidR="00A76C5C" w:rsidRPr="00A76C5C" w:rsidRDefault="00A76C5C" w:rsidP="00A76C5C">
            <w:pPr>
              <w:ind w:left="181" w:hanging="146"/>
              <w:contextualSpacing w:val="0"/>
              <w:rPr>
                <w:i/>
                <w:iCs/>
                <w:lang w:eastAsia="nl-NL"/>
              </w:rPr>
            </w:pPr>
            <w:r w:rsidRPr="00A76C5C">
              <w:rPr>
                <w:i/>
                <w:iCs/>
                <w:lang w:eastAsia="nl-NL"/>
              </w:rPr>
              <w:t>2 HRM systeem: AFAS</w:t>
            </w:r>
          </w:p>
          <w:p w14:paraId="0EB31491" w14:textId="77777777" w:rsidR="00A76C5C" w:rsidRPr="00A76C5C" w:rsidRDefault="00A76C5C" w:rsidP="00A76C5C">
            <w:pPr>
              <w:ind w:left="181" w:hanging="146"/>
              <w:contextualSpacing w:val="0"/>
              <w:rPr>
                <w:i/>
                <w:iCs/>
                <w:lang w:eastAsia="nl-NL"/>
              </w:rPr>
            </w:pPr>
            <w:r w:rsidRPr="00A76C5C">
              <w:rPr>
                <w:i/>
                <w:iCs/>
                <w:lang w:eastAsia="nl-NL"/>
              </w:rPr>
              <w:t>3 Financieel systeem: AFAS</w:t>
            </w:r>
          </w:p>
          <w:p w14:paraId="0728B381" w14:textId="77777777" w:rsidR="00A76C5C" w:rsidRPr="00A76C5C" w:rsidRDefault="00A76C5C" w:rsidP="00A76C5C">
            <w:pPr>
              <w:ind w:left="181" w:hanging="146"/>
              <w:contextualSpacing w:val="0"/>
              <w:rPr>
                <w:i/>
                <w:iCs/>
                <w:lang w:eastAsia="nl-NL"/>
              </w:rPr>
            </w:pPr>
            <w:r w:rsidRPr="00A76C5C">
              <w:rPr>
                <w:i/>
                <w:iCs/>
                <w:lang w:eastAsia="nl-NL"/>
              </w:rPr>
              <w:t>4 Kantoorautomatiseringssysteem: Office 365</w:t>
            </w:r>
          </w:p>
          <w:p w14:paraId="3F7B1183" w14:textId="77777777" w:rsidR="00A76C5C" w:rsidRPr="00A76C5C" w:rsidRDefault="00A76C5C" w:rsidP="00A76C5C">
            <w:pPr>
              <w:ind w:left="181" w:hanging="146"/>
              <w:rPr>
                <w:lang w:eastAsia="nl-NL"/>
              </w:rPr>
            </w:pPr>
            <w:r w:rsidRPr="00A76C5C">
              <w:rPr>
                <w:i/>
                <w:iCs/>
                <w:lang w:eastAsia="nl-NL"/>
              </w:rPr>
              <w:t>5 Identiteitsbeheersysteem (IAM): eigen</w:t>
            </w:r>
          </w:p>
        </w:tc>
      </w:tr>
      <w:tr w:rsidR="00A76C5C" w:rsidRPr="00A76C5C" w14:paraId="702994A0" w14:textId="77777777" w:rsidTr="00751390">
        <w:tc>
          <w:tcPr>
            <w:tcW w:w="2547" w:type="dxa"/>
            <w:shd w:val="clear" w:color="auto" w:fill="DBE5F1"/>
          </w:tcPr>
          <w:p w14:paraId="2AA9D203" w14:textId="77777777" w:rsidR="00A76C5C" w:rsidRPr="00A76C5C" w:rsidRDefault="00A76C5C" w:rsidP="00A76C5C">
            <w:pPr>
              <w:rPr>
                <w:b/>
                <w:bCs/>
                <w:color w:val="0070C0"/>
                <w:lang w:val="en-US" w:eastAsia="nl-NL"/>
              </w:rPr>
            </w:pPr>
            <w:r w:rsidRPr="00A76C5C">
              <w:rPr>
                <w:b/>
                <w:bCs/>
                <w:color w:val="0070C0"/>
                <w:lang w:val="en-US" w:eastAsia="nl-NL"/>
              </w:rPr>
              <w:t>Decentrale assessments</w:t>
            </w:r>
          </w:p>
          <w:p w14:paraId="4FEA9654" w14:textId="77777777" w:rsidR="00A76C5C" w:rsidRPr="00A76C5C" w:rsidRDefault="00A76C5C" w:rsidP="00A76C5C">
            <w:pPr>
              <w:contextualSpacing w:val="0"/>
              <w:rPr>
                <w:b/>
                <w:bCs/>
                <w:color w:val="0070C0"/>
                <w:lang w:val="en-US"/>
              </w:rPr>
            </w:pPr>
            <w:r w:rsidRPr="00A76C5C">
              <w:rPr>
                <w:color w:val="0070C0"/>
                <w:lang w:val="en-US" w:eastAsia="nl-NL"/>
              </w:rPr>
              <w:t>(</w:t>
            </w:r>
            <w:proofErr w:type="spellStart"/>
            <w:r w:rsidRPr="00A76C5C">
              <w:rPr>
                <w:color w:val="0070C0"/>
                <w:lang w:val="en-US" w:eastAsia="nl-NL"/>
              </w:rPr>
              <w:t>leidinggevenden</w:t>
            </w:r>
            <w:proofErr w:type="spellEnd"/>
            <w:r w:rsidRPr="00A76C5C">
              <w:rPr>
                <w:color w:val="0070C0"/>
                <w:lang w:val="en-US" w:eastAsia="nl-NL"/>
              </w:rPr>
              <w:t xml:space="preserve"> – first line)</w:t>
            </w:r>
          </w:p>
        </w:tc>
        <w:tc>
          <w:tcPr>
            <w:tcW w:w="8788" w:type="dxa"/>
            <w:tcMar>
              <w:right w:w="28" w:type="dxa"/>
            </w:tcMar>
          </w:tcPr>
          <w:p w14:paraId="7595FB2A" w14:textId="77777777" w:rsidR="00A76C5C" w:rsidRPr="00A76C5C" w:rsidRDefault="00A76C5C" w:rsidP="00A76C5C">
            <w:pPr>
              <w:ind w:left="181" w:hanging="146"/>
              <w:rPr>
                <w:lang w:eastAsia="nl-NL"/>
              </w:rPr>
            </w:pPr>
            <w:r w:rsidRPr="00A76C5C">
              <w:rPr>
                <w:lang w:eastAsia="nl-NL"/>
              </w:rPr>
              <w:t>Toetsing op:</w:t>
            </w:r>
          </w:p>
          <w:p w14:paraId="15D1749E" w14:textId="77777777" w:rsidR="00A76C5C" w:rsidRPr="00A76C5C" w:rsidRDefault="00A76C5C" w:rsidP="007D3670">
            <w:pPr>
              <w:widowControl w:val="0"/>
              <w:numPr>
                <w:ilvl w:val="0"/>
                <w:numId w:val="4"/>
              </w:numPr>
              <w:ind w:left="181" w:hanging="146"/>
              <w:contextualSpacing w:val="0"/>
              <w:rPr>
                <w:lang w:eastAsia="nl-NL"/>
              </w:rPr>
            </w:pPr>
            <w:r w:rsidRPr="00A76C5C">
              <w:rPr>
                <w:lang w:eastAsia="nl-NL"/>
              </w:rPr>
              <w:t>Scholing leidinggevenden</w:t>
            </w:r>
          </w:p>
          <w:p w14:paraId="1F739CB4" w14:textId="77777777" w:rsidR="00A76C5C" w:rsidRPr="00A76C5C" w:rsidRDefault="00A76C5C" w:rsidP="007D3670">
            <w:pPr>
              <w:widowControl w:val="0"/>
              <w:numPr>
                <w:ilvl w:val="0"/>
                <w:numId w:val="4"/>
              </w:numPr>
              <w:ind w:left="181" w:hanging="146"/>
              <w:contextualSpacing w:val="0"/>
              <w:rPr>
                <w:lang w:eastAsia="nl-NL"/>
              </w:rPr>
            </w:pPr>
            <w:r w:rsidRPr="00A76C5C">
              <w:rPr>
                <w:lang w:eastAsia="nl-NL"/>
              </w:rPr>
              <w:t>Scholing medewerkers</w:t>
            </w:r>
          </w:p>
          <w:p w14:paraId="314F6DEC" w14:textId="77777777" w:rsidR="00A76C5C" w:rsidRPr="00A76C5C" w:rsidRDefault="00A76C5C" w:rsidP="007D3670">
            <w:pPr>
              <w:widowControl w:val="0"/>
              <w:numPr>
                <w:ilvl w:val="0"/>
                <w:numId w:val="4"/>
              </w:numPr>
              <w:ind w:left="181" w:hanging="146"/>
              <w:contextualSpacing w:val="0"/>
              <w:rPr>
                <w:lang w:eastAsia="nl-NL"/>
              </w:rPr>
            </w:pPr>
            <w:r w:rsidRPr="00A76C5C">
              <w:rPr>
                <w:lang w:eastAsia="nl-NL"/>
              </w:rPr>
              <w:t>Governance/compliance acceptatie</w:t>
            </w:r>
          </w:p>
          <w:p w14:paraId="4F38C9FB" w14:textId="77777777" w:rsidR="00A76C5C" w:rsidRPr="00A76C5C" w:rsidRDefault="00A76C5C" w:rsidP="007D3670">
            <w:pPr>
              <w:widowControl w:val="0"/>
              <w:numPr>
                <w:ilvl w:val="0"/>
                <w:numId w:val="4"/>
              </w:numPr>
              <w:ind w:left="181" w:hanging="146"/>
              <w:contextualSpacing w:val="0"/>
              <w:rPr>
                <w:lang w:eastAsia="nl-NL"/>
              </w:rPr>
            </w:pPr>
            <w:r w:rsidRPr="00A76C5C">
              <w:rPr>
                <w:lang w:eastAsia="nl-NL"/>
              </w:rPr>
              <w:t>Toegekende autorisaties (SOLL autorisatie matrix)</w:t>
            </w:r>
          </w:p>
          <w:p w14:paraId="50A97474" w14:textId="77777777" w:rsidR="00A76C5C" w:rsidRPr="00A76C5C" w:rsidRDefault="00A76C5C" w:rsidP="007D3670">
            <w:pPr>
              <w:widowControl w:val="0"/>
              <w:numPr>
                <w:ilvl w:val="0"/>
                <w:numId w:val="4"/>
              </w:numPr>
              <w:ind w:left="181" w:hanging="146"/>
              <w:contextualSpacing w:val="0"/>
              <w:rPr>
                <w:lang w:eastAsia="nl-NL"/>
              </w:rPr>
            </w:pPr>
            <w:r w:rsidRPr="00A76C5C">
              <w:rPr>
                <w:lang w:eastAsia="nl-NL"/>
              </w:rPr>
              <w:t>Ondertekende verwerkersovereenkomsten (decentrale applicaties)</w:t>
            </w:r>
          </w:p>
          <w:p w14:paraId="0FE570EB" w14:textId="77777777" w:rsidR="00A76C5C" w:rsidRPr="00A76C5C" w:rsidRDefault="00A76C5C" w:rsidP="00A76C5C">
            <w:pPr>
              <w:ind w:left="181" w:hanging="146"/>
              <w:contextualSpacing w:val="0"/>
              <w:rPr>
                <w:i/>
                <w:iCs/>
                <w:lang w:eastAsia="nl-NL"/>
              </w:rPr>
            </w:pPr>
            <w:r w:rsidRPr="00A76C5C">
              <w:rPr>
                <w:lang w:eastAsia="nl-NL"/>
              </w:rPr>
              <w:t>Ophalen niet benoemde risico’s</w:t>
            </w:r>
          </w:p>
        </w:tc>
      </w:tr>
      <w:tr w:rsidR="00A76C5C" w:rsidRPr="00A76C5C" w14:paraId="6B5701FC" w14:textId="77777777" w:rsidTr="00751390">
        <w:tc>
          <w:tcPr>
            <w:tcW w:w="2547" w:type="dxa"/>
            <w:shd w:val="clear" w:color="auto" w:fill="DBE5F1"/>
          </w:tcPr>
          <w:p w14:paraId="0637B33E" w14:textId="77777777" w:rsidR="00A76C5C" w:rsidRPr="00A76C5C" w:rsidRDefault="00A76C5C" w:rsidP="00A76C5C">
            <w:pPr>
              <w:contextualSpacing w:val="0"/>
              <w:rPr>
                <w:b/>
                <w:bCs/>
                <w:color w:val="0070C0"/>
              </w:rPr>
            </w:pPr>
            <w:r w:rsidRPr="00A76C5C">
              <w:rPr>
                <w:b/>
                <w:bCs/>
                <w:color w:val="0070C0"/>
              </w:rPr>
              <w:t>Overige assessments</w:t>
            </w:r>
          </w:p>
          <w:p w14:paraId="21E40168" w14:textId="77777777" w:rsidR="00A76C5C" w:rsidRPr="00A76C5C" w:rsidRDefault="00A76C5C" w:rsidP="00A76C5C">
            <w:pPr>
              <w:rPr>
                <w:b/>
                <w:bCs/>
                <w:color w:val="0070C0"/>
                <w:lang w:eastAsia="nl-NL"/>
              </w:rPr>
            </w:pPr>
            <w:r w:rsidRPr="00A76C5C">
              <w:rPr>
                <w:color w:val="0070C0"/>
              </w:rPr>
              <w:t>(proceseigenaren)</w:t>
            </w:r>
          </w:p>
        </w:tc>
        <w:tc>
          <w:tcPr>
            <w:tcW w:w="8788" w:type="dxa"/>
            <w:tcMar>
              <w:right w:w="28" w:type="dxa"/>
            </w:tcMar>
          </w:tcPr>
          <w:p w14:paraId="4316A8E1" w14:textId="5B740983" w:rsidR="00A76C5C" w:rsidRPr="00A76C5C" w:rsidRDefault="00A76C5C" w:rsidP="007D3670">
            <w:pPr>
              <w:widowControl w:val="0"/>
              <w:numPr>
                <w:ilvl w:val="0"/>
                <w:numId w:val="3"/>
              </w:numPr>
              <w:ind w:left="181" w:hanging="146"/>
              <w:contextualSpacing w:val="0"/>
            </w:pPr>
            <w:r w:rsidRPr="00A76C5C">
              <w:t>Privacy (</w:t>
            </w:r>
            <w:r w:rsidR="009811A9">
              <w:t>SURF</w:t>
            </w:r>
            <w:r w:rsidRPr="00A76C5C">
              <w:t>)</w:t>
            </w:r>
          </w:p>
          <w:p w14:paraId="243A4ADF" w14:textId="77777777" w:rsidR="00A76C5C" w:rsidRPr="00A76C5C" w:rsidRDefault="00A76C5C" w:rsidP="007D3670">
            <w:pPr>
              <w:widowControl w:val="0"/>
              <w:numPr>
                <w:ilvl w:val="0"/>
                <w:numId w:val="3"/>
              </w:numPr>
              <w:ind w:left="181" w:hanging="146"/>
              <w:contextualSpacing w:val="0"/>
              <w:rPr>
                <w:lang w:eastAsia="nl-NL"/>
              </w:rPr>
            </w:pPr>
            <w:r w:rsidRPr="00A76C5C">
              <w:t>Digitaal ondertekenen (optioneel)</w:t>
            </w:r>
          </w:p>
        </w:tc>
      </w:tr>
    </w:tbl>
    <w:p w14:paraId="03F40A80" w14:textId="77777777" w:rsidR="00A76C5C" w:rsidRPr="00A76C5C" w:rsidRDefault="00A76C5C" w:rsidP="00A76C5C"/>
    <w:p w14:paraId="6C44E9D6" w14:textId="77777777" w:rsidR="00A76C5C" w:rsidRPr="00A76C5C" w:rsidRDefault="00A76C5C" w:rsidP="00A76C5C">
      <w:pPr>
        <w:contextualSpacing w:val="0"/>
        <w:rPr>
          <w:szCs w:val="22"/>
        </w:rPr>
      </w:pPr>
    </w:p>
    <w:p w14:paraId="2ACBA6E9" w14:textId="4575F76A" w:rsidR="00A76C5C" w:rsidRPr="00A76C5C" w:rsidRDefault="00A76C5C" w:rsidP="00851E38">
      <w:pPr>
        <w:pStyle w:val="Kop2"/>
      </w:pPr>
      <w:bookmarkStart w:id="4" w:name="_Toc119927025"/>
      <w:bookmarkStart w:id="5" w:name="_Toc144896465"/>
      <w:r w:rsidRPr="00A76C5C">
        <w:lastRenderedPageBreak/>
        <w:t>Gemaakte afspraken</w:t>
      </w:r>
      <w:bookmarkEnd w:id="4"/>
      <w:bookmarkEnd w:id="5"/>
    </w:p>
    <w:p w14:paraId="61CF0F56" w14:textId="77777777" w:rsidR="00A76C5C" w:rsidRPr="00A76C5C" w:rsidRDefault="00A76C5C" w:rsidP="007D3670">
      <w:pPr>
        <w:numPr>
          <w:ilvl w:val="0"/>
          <w:numId w:val="6"/>
        </w:numPr>
        <w:spacing w:line="259" w:lineRule="auto"/>
        <w:ind w:left="709"/>
        <w:contextualSpacing w:val="0"/>
        <w:rPr>
          <w:szCs w:val="22"/>
        </w:rPr>
      </w:pPr>
      <w:r w:rsidRPr="00A76C5C">
        <w:rPr>
          <w:szCs w:val="22"/>
        </w:rPr>
        <w:t>risico-eigenaarschap (Accountable)</w:t>
      </w:r>
      <w:r w:rsidRPr="00A76C5C">
        <w:rPr>
          <w:szCs w:val="22"/>
        </w:rPr>
        <w:tab/>
        <w:t xml:space="preserve">College van Bestuur </w:t>
      </w:r>
    </w:p>
    <w:p w14:paraId="5F8C3626" w14:textId="5B1CCFB5" w:rsidR="00A76C5C" w:rsidRPr="00A76C5C" w:rsidRDefault="00A76C5C" w:rsidP="007D3670">
      <w:pPr>
        <w:numPr>
          <w:ilvl w:val="0"/>
          <w:numId w:val="6"/>
        </w:numPr>
        <w:spacing w:line="259" w:lineRule="auto"/>
        <w:ind w:left="709"/>
        <w:contextualSpacing w:val="0"/>
        <w:rPr>
          <w:szCs w:val="22"/>
        </w:rPr>
      </w:pPr>
      <w:r w:rsidRPr="00A76C5C">
        <w:rPr>
          <w:szCs w:val="22"/>
        </w:rPr>
        <w:t>risicoproces</w:t>
      </w:r>
      <w:r w:rsidRPr="00A76C5C">
        <w:rPr>
          <w:szCs w:val="22"/>
        </w:rPr>
        <w:tab/>
      </w:r>
      <w:r w:rsidRPr="00A76C5C">
        <w:rPr>
          <w:szCs w:val="22"/>
        </w:rPr>
        <w:tab/>
      </w:r>
      <w:r w:rsidRPr="00A76C5C">
        <w:rPr>
          <w:szCs w:val="22"/>
        </w:rPr>
        <w:tab/>
      </w:r>
      <w:r w:rsidRPr="00A76C5C">
        <w:rPr>
          <w:szCs w:val="22"/>
        </w:rPr>
        <w:tab/>
      </w:r>
      <w:r w:rsidR="00377E89">
        <w:rPr>
          <w:szCs w:val="22"/>
        </w:rPr>
        <w:tab/>
      </w:r>
      <w:r w:rsidRPr="00A76C5C">
        <w:rPr>
          <w:szCs w:val="22"/>
        </w:rPr>
        <w:t>Risico set wordt geplot op de 69 NBA statements en op de RACI</w:t>
      </w:r>
    </w:p>
    <w:p w14:paraId="21063CD4" w14:textId="77777777" w:rsidR="00A76C5C" w:rsidRPr="00A76C5C" w:rsidRDefault="00A76C5C" w:rsidP="007D3670">
      <w:pPr>
        <w:numPr>
          <w:ilvl w:val="0"/>
          <w:numId w:val="6"/>
        </w:numPr>
        <w:spacing w:line="259" w:lineRule="auto"/>
        <w:ind w:left="709"/>
        <w:contextualSpacing w:val="0"/>
        <w:rPr>
          <w:szCs w:val="22"/>
        </w:rPr>
      </w:pPr>
      <w:r w:rsidRPr="00A76C5C">
        <w:rPr>
          <w:szCs w:val="22"/>
        </w:rPr>
        <w:t>risicobeoordeling</w:t>
      </w:r>
      <w:r w:rsidRPr="00A76C5C">
        <w:rPr>
          <w:szCs w:val="22"/>
        </w:rPr>
        <w:tab/>
      </w:r>
      <w:r w:rsidRPr="00A76C5C">
        <w:rPr>
          <w:szCs w:val="22"/>
        </w:rPr>
        <w:tab/>
      </w:r>
      <w:r w:rsidRPr="00A76C5C">
        <w:rPr>
          <w:szCs w:val="22"/>
        </w:rPr>
        <w:tab/>
      </w:r>
      <w:r w:rsidRPr="00A76C5C">
        <w:rPr>
          <w:szCs w:val="22"/>
        </w:rPr>
        <w:tab/>
        <w:t>Kans x impact conform SURF (Cyberdreigingsbeeld)</w:t>
      </w:r>
    </w:p>
    <w:p w14:paraId="07584F82" w14:textId="77777777" w:rsidR="00A76C5C" w:rsidRPr="00A76C5C" w:rsidRDefault="00A76C5C" w:rsidP="007D3670">
      <w:pPr>
        <w:numPr>
          <w:ilvl w:val="0"/>
          <w:numId w:val="6"/>
        </w:numPr>
        <w:spacing w:line="259" w:lineRule="auto"/>
        <w:ind w:left="709"/>
        <w:contextualSpacing w:val="0"/>
        <w:rPr>
          <w:szCs w:val="22"/>
        </w:rPr>
      </w:pPr>
      <w:r w:rsidRPr="00A76C5C">
        <w:rPr>
          <w:szCs w:val="22"/>
        </w:rPr>
        <w:t>risicomitigatie</w:t>
      </w:r>
      <w:r w:rsidRPr="00A76C5C">
        <w:rPr>
          <w:szCs w:val="22"/>
        </w:rPr>
        <w:tab/>
      </w:r>
      <w:r w:rsidRPr="00A76C5C">
        <w:tab/>
      </w:r>
      <w:r w:rsidRPr="00A76C5C">
        <w:tab/>
      </w:r>
      <w:r w:rsidRPr="00A76C5C">
        <w:tab/>
      </w:r>
      <w:r w:rsidRPr="00A76C5C">
        <w:rPr>
          <w:szCs w:val="22"/>
        </w:rPr>
        <w:t xml:space="preserve">Risico’s worden geplot op het NBA kader. De statements die betrekking hebben op het risico worden (versneld) naar </w:t>
      </w:r>
    </w:p>
    <w:p w14:paraId="61EEF46F" w14:textId="77777777" w:rsidR="00A76C5C" w:rsidRPr="00A76C5C" w:rsidRDefault="00A76C5C" w:rsidP="00377E89">
      <w:pPr>
        <w:ind w:left="3402" w:firstLine="567"/>
        <w:rPr>
          <w:szCs w:val="22"/>
        </w:rPr>
      </w:pPr>
      <w:r w:rsidRPr="00A76C5C">
        <w:rPr>
          <w:szCs w:val="22"/>
        </w:rPr>
        <w:t>het noodzakelijke niveau gebracht, zodat het risico verkleind wordt.</w:t>
      </w:r>
    </w:p>
    <w:p w14:paraId="272427BC" w14:textId="77777777" w:rsidR="00A76C5C" w:rsidRPr="00A76C5C" w:rsidRDefault="00A76C5C" w:rsidP="007D3670">
      <w:pPr>
        <w:numPr>
          <w:ilvl w:val="0"/>
          <w:numId w:val="6"/>
        </w:numPr>
        <w:spacing w:line="259" w:lineRule="auto"/>
        <w:ind w:left="709"/>
        <w:contextualSpacing w:val="0"/>
      </w:pPr>
      <w:r w:rsidRPr="00A76C5C">
        <w:rPr>
          <w:szCs w:val="22"/>
        </w:rPr>
        <w:t>risicoacceptatie</w:t>
      </w:r>
      <w:r w:rsidRPr="00A76C5C">
        <w:rPr>
          <w:szCs w:val="22"/>
        </w:rPr>
        <w:tab/>
      </w:r>
      <w:r w:rsidRPr="00A76C5C">
        <w:rPr>
          <w:szCs w:val="22"/>
        </w:rPr>
        <w:tab/>
      </w:r>
      <w:r w:rsidRPr="00A76C5C">
        <w:rPr>
          <w:szCs w:val="22"/>
        </w:rPr>
        <w:tab/>
      </w:r>
      <w:r w:rsidRPr="00A76C5C">
        <w:rPr>
          <w:szCs w:val="22"/>
        </w:rPr>
        <w:tab/>
        <w:t>College van Bestuur</w:t>
      </w:r>
    </w:p>
    <w:p w14:paraId="31150FDE" w14:textId="77777777" w:rsidR="00A76C5C" w:rsidRPr="00A76C5C" w:rsidRDefault="00A76C5C" w:rsidP="00A76C5C">
      <w:pPr>
        <w:spacing w:line="259" w:lineRule="auto"/>
        <w:contextualSpacing w:val="0"/>
        <w:rPr>
          <w:rFonts w:cs="Calibri"/>
          <w:bCs/>
          <w:noProof/>
        </w:rPr>
      </w:pPr>
    </w:p>
    <w:p w14:paraId="74C9442A" w14:textId="34A9C6B1" w:rsidR="00A76C5C" w:rsidRPr="00A76C5C" w:rsidRDefault="00A76C5C" w:rsidP="00851E38">
      <w:pPr>
        <w:pStyle w:val="Kop2"/>
        <w:rPr>
          <w:rFonts w:eastAsia="Times New Roman"/>
        </w:rPr>
      </w:pPr>
      <w:bookmarkStart w:id="6" w:name="_Toc119927027"/>
      <w:bookmarkStart w:id="7" w:name="_Toc144896466"/>
      <w:r w:rsidRPr="00A76C5C">
        <w:rPr>
          <w:rFonts w:eastAsia="Times New Roman"/>
        </w:rPr>
        <w:t>Risico beoordeling</w:t>
      </w:r>
      <w:bookmarkEnd w:id="6"/>
      <w:bookmarkEnd w:id="7"/>
    </w:p>
    <w:p w14:paraId="6848EE4D" w14:textId="77777777" w:rsidR="00A76C5C" w:rsidRPr="00A76C5C" w:rsidRDefault="00A76C5C" w:rsidP="00A76C5C">
      <w:pPr>
        <w:rPr>
          <w:szCs w:val="22"/>
        </w:rPr>
      </w:pPr>
      <w:r w:rsidRPr="00A76C5C">
        <w:rPr>
          <w:szCs w:val="22"/>
        </w:rPr>
        <w:t>De risicoanalyse levert informatie op, waarmee het College van Bestuur in staat wordt gesteld te beslissen welke risico’s (of combinatie van risico’s) een te groot potentiële schade vormen en met welke maatregelen deze risico’s verkleind kunnen worden. Op hoofdlijnen zijn er vier reacties mogelijk op elk risico:</w:t>
      </w:r>
    </w:p>
    <w:p w14:paraId="50EAE14E" w14:textId="77777777" w:rsidR="00A76C5C" w:rsidRPr="00A76C5C" w:rsidRDefault="00A76C5C" w:rsidP="00A76C5C">
      <w:pPr>
        <w:ind w:left="426" w:hanging="142"/>
        <w:rPr>
          <w:szCs w:val="22"/>
        </w:rPr>
      </w:pPr>
      <w:r w:rsidRPr="00A76C5C">
        <w:rPr>
          <w:szCs w:val="22"/>
        </w:rPr>
        <w:t>1.</w:t>
      </w:r>
      <w:r w:rsidRPr="00A76C5C">
        <w:rPr>
          <w:szCs w:val="22"/>
        </w:rPr>
        <w:tab/>
        <w:t>Risico vermijden (</w:t>
      </w:r>
      <w:proofErr w:type="spellStart"/>
      <w:r w:rsidRPr="00A76C5C">
        <w:rPr>
          <w:szCs w:val="22"/>
        </w:rPr>
        <w:t>avoid</w:t>
      </w:r>
      <w:proofErr w:type="spellEnd"/>
      <w:r w:rsidRPr="00A76C5C">
        <w:rPr>
          <w:szCs w:val="22"/>
        </w:rPr>
        <w:t>)</w:t>
      </w:r>
    </w:p>
    <w:p w14:paraId="5DD2454D" w14:textId="77777777" w:rsidR="00A76C5C" w:rsidRPr="00A76C5C" w:rsidRDefault="00A76C5C" w:rsidP="00A76C5C">
      <w:pPr>
        <w:ind w:left="426" w:hanging="142"/>
        <w:rPr>
          <w:szCs w:val="22"/>
        </w:rPr>
      </w:pPr>
      <w:r w:rsidRPr="00A76C5C">
        <w:rPr>
          <w:szCs w:val="22"/>
        </w:rPr>
        <w:t>2.</w:t>
      </w:r>
      <w:r w:rsidRPr="00A76C5C">
        <w:rPr>
          <w:szCs w:val="22"/>
        </w:rPr>
        <w:tab/>
        <w:t>Risico verkleinen (</w:t>
      </w:r>
      <w:proofErr w:type="spellStart"/>
      <w:r w:rsidRPr="00A76C5C">
        <w:rPr>
          <w:szCs w:val="22"/>
        </w:rPr>
        <w:t>mitigation</w:t>
      </w:r>
      <w:proofErr w:type="spellEnd"/>
      <w:r w:rsidRPr="00A76C5C">
        <w:rPr>
          <w:szCs w:val="22"/>
        </w:rPr>
        <w:t>)</w:t>
      </w:r>
    </w:p>
    <w:p w14:paraId="66B97E40" w14:textId="77777777" w:rsidR="00A76C5C" w:rsidRPr="00A76C5C" w:rsidRDefault="00A76C5C" w:rsidP="00A76C5C">
      <w:pPr>
        <w:ind w:left="426" w:hanging="142"/>
        <w:rPr>
          <w:szCs w:val="22"/>
        </w:rPr>
      </w:pPr>
      <w:r w:rsidRPr="00A76C5C">
        <w:rPr>
          <w:szCs w:val="22"/>
        </w:rPr>
        <w:t>3.</w:t>
      </w:r>
      <w:r w:rsidRPr="00A76C5C">
        <w:rPr>
          <w:szCs w:val="22"/>
        </w:rPr>
        <w:tab/>
        <w:t>Risico accepteren (accept)</w:t>
      </w:r>
    </w:p>
    <w:p w14:paraId="752D50F0" w14:textId="53BD09FD" w:rsidR="00A76C5C" w:rsidRDefault="00A76C5C" w:rsidP="00A76C5C">
      <w:pPr>
        <w:ind w:left="426" w:hanging="142"/>
        <w:rPr>
          <w:szCs w:val="22"/>
        </w:rPr>
      </w:pPr>
      <w:r w:rsidRPr="00A76C5C">
        <w:rPr>
          <w:szCs w:val="22"/>
        </w:rPr>
        <w:t>4.</w:t>
      </w:r>
      <w:r w:rsidRPr="00A76C5C">
        <w:rPr>
          <w:szCs w:val="22"/>
        </w:rPr>
        <w:tab/>
        <w:t>Risico elders beleggen (transfer)</w:t>
      </w:r>
    </w:p>
    <w:p w14:paraId="16350814" w14:textId="0B83A097" w:rsidR="00CA7074" w:rsidRDefault="00CA7074" w:rsidP="00A76C5C">
      <w:pPr>
        <w:ind w:left="426" w:hanging="142"/>
        <w:rPr>
          <w:szCs w:val="22"/>
        </w:rPr>
      </w:pPr>
    </w:p>
    <w:p w14:paraId="53B4729B" w14:textId="42B55995" w:rsidR="00CA7074" w:rsidRDefault="00CA7074" w:rsidP="00CA7074">
      <w:pPr>
        <w:pStyle w:val="Kop2"/>
      </w:pPr>
      <w:bookmarkStart w:id="8" w:name="_Toc144896467"/>
      <w:r>
        <w:t>Risico cyclus</w:t>
      </w:r>
      <w:bookmarkEnd w:id="8"/>
    </w:p>
    <w:p w14:paraId="423A7D33" w14:textId="2A1AEE37" w:rsidR="00CA7074" w:rsidRDefault="00CA7074" w:rsidP="00CA7074">
      <w:pPr>
        <w:rPr>
          <w:lang w:eastAsia="nl-NL"/>
        </w:rPr>
      </w:pPr>
      <w:r>
        <w:rPr>
          <w:lang w:eastAsia="nl-NL"/>
        </w:rPr>
        <w:t>Start voor de aanzet van het risico actieplan is het Cyberdreigingsbeeld van SURF.</w:t>
      </w:r>
    </w:p>
    <w:p w14:paraId="66317DEF" w14:textId="7E8610D2" w:rsidR="00CA7074" w:rsidRDefault="00CA7074" w:rsidP="00CA7074">
      <w:pPr>
        <w:rPr>
          <w:lang w:eastAsia="nl-NL"/>
        </w:rPr>
      </w:pPr>
      <w:r>
        <w:rPr>
          <w:lang w:eastAsia="nl-NL"/>
        </w:rPr>
        <w:t>Jaarlijks vindt ook de beperkte audit plaats van de organisatorische eenheden.</w:t>
      </w:r>
    </w:p>
    <w:p w14:paraId="78404E2F" w14:textId="35E8E8D6" w:rsidR="00CA7074" w:rsidRDefault="00CA7074" w:rsidP="00CA7074">
      <w:pPr>
        <w:rPr>
          <w:lang w:eastAsia="nl-NL"/>
        </w:rPr>
      </w:pPr>
      <w:r>
        <w:rPr>
          <w:lang w:eastAsia="nl-NL"/>
        </w:rPr>
        <w:t xml:space="preserve">Aanbevelingen van </w:t>
      </w:r>
      <w:proofErr w:type="spellStart"/>
      <w:r>
        <w:rPr>
          <w:lang w:eastAsia="nl-NL"/>
        </w:rPr>
        <w:t>DPIA’s</w:t>
      </w:r>
      <w:proofErr w:type="spellEnd"/>
      <w:r>
        <w:rPr>
          <w:lang w:eastAsia="nl-NL"/>
        </w:rPr>
        <w:t xml:space="preserve"> worden meegenomen.</w:t>
      </w:r>
    </w:p>
    <w:p w14:paraId="43393621" w14:textId="658F6C23" w:rsidR="00CA7074" w:rsidRDefault="00CA7074" w:rsidP="00CA7074">
      <w:pPr>
        <w:rPr>
          <w:lang w:eastAsia="nl-NL"/>
        </w:rPr>
      </w:pPr>
      <w:r>
        <w:rPr>
          <w:lang w:eastAsia="nl-NL"/>
        </w:rPr>
        <w:t>Het niet realiseren van het volwassenheidsniveau 3 van het NBA kader wordt ook als een risico geïnterpreteerd.</w:t>
      </w:r>
    </w:p>
    <w:p w14:paraId="498045BA" w14:textId="77777777" w:rsidR="00CA7074" w:rsidRPr="00CA7074" w:rsidRDefault="00CA7074" w:rsidP="00CA7074">
      <w:pPr>
        <w:rPr>
          <w:lang w:eastAsia="nl-NL"/>
        </w:rPr>
      </w:pPr>
    </w:p>
    <w:p w14:paraId="6686F268" w14:textId="77777777" w:rsidR="00A76C5C" w:rsidRPr="00A76C5C" w:rsidRDefault="00A76C5C" w:rsidP="00A76C5C">
      <w:pPr>
        <w:spacing w:after="160" w:line="259" w:lineRule="auto"/>
        <w:contextualSpacing w:val="0"/>
        <w:rPr>
          <w:rFonts w:ascii="Calibri Light" w:eastAsia="Times New Roman" w:hAnsi="Calibri Light"/>
          <w:color w:val="2F5496"/>
          <w:sz w:val="32"/>
          <w:szCs w:val="32"/>
        </w:rPr>
      </w:pPr>
      <w:r w:rsidRPr="00A76C5C">
        <w:rPr>
          <w:rFonts w:ascii="Calibri Light" w:eastAsia="Times New Roman" w:hAnsi="Calibri Light"/>
          <w:color w:val="2F5496"/>
          <w:sz w:val="32"/>
          <w:szCs w:val="32"/>
        </w:rPr>
        <w:br w:type="page"/>
      </w:r>
    </w:p>
    <w:p w14:paraId="620E7D49" w14:textId="0CDD52B2" w:rsidR="00A76C5C" w:rsidRPr="00A76C5C" w:rsidRDefault="00A76C5C" w:rsidP="001167D0">
      <w:pPr>
        <w:pStyle w:val="Kop1"/>
        <w:rPr>
          <w:rFonts w:eastAsia="Times New Roman"/>
        </w:rPr>
      </w:pPr>
      <w:bookmarkStart w:id="9" w:name="_Toc119927028"/>
      <w:bookmarkStart w:id="10" w:name="_Toc144896468"/>
      <w:r w:rsidRPr="00A76C5C">
        <w:rPr>
          <w:rFonts w:eastAsia="Times New Roman"/>
        </w:rPr>
        <w:lastRenderedPageBreak/>
        <w:t>Risico inventarisatie op basis van Cyberdreigingsbeeld</w:t>
      </w:r>
      <w:r w:rsidRPr="00A76C5C">
        <w:rPr>
          <w:rFonts w:eastAsia="Times New Roman"/>
          <w:vertAlign w:val="superscript"/>
        </w:rPr>
        <w:footnoteReference w:id="2"/>
      </w:r>
      <w:bookmarkEnd w:id="9"/>
      <w:bookmarkEnd w:id="10"/>
    </w:p>
    <w:p w14:paraId="5F2430F7" w14:textId="22F1C6BD" w:rsidR="00965FBC" w:rsidRDefault="00965FBC" w:rsidP="00851E38">
      <w:pPr>
        <w:pStyle w:val="Kop2"/>
        <w:rPr>
          <w:rStyle w:val="OndertitelChar"/>
        </w:rPr>
      </w:pPr>
      <w:bookmarkStart w:id="11" w:name="_Toc144896469"/>
      <w:bookmarkStart w:id="12" w:name="_Toc119927029"/>
      <w:r w:rsidRPr="00965FBC">
        <w:rPr>
          <w:rStyle w:val="OndertitelChar"/>
          <w:b/>
          <w:sz w:val="24"/>
          <w:szCs w:val="32"/>
        </w:rPr>
        <w:t>Samenvatting</w:t>
      </w:r>
      <w:bookmarkEnd w:id="11"/>
    </w:p>
    <w:p w14:paraId="772C1B3E" w14:textId="14D8E05E" w:rsidR="000B56D1" w:rsidRDefault="00415BFB">
      <w:pPr>
        <w:contextualSpacing w:val="0"/>
      </w:pPr>
      <w:bookmarkStart w:id="13" w:name="_Toc144896470"/>
      <w:r w:rsidRPr="000B56D1">
        <w:rPr>
          <w:rStyle w:val="OndertitelChar"/>
        </w:rPr>
        <w:t>Dreigingen en kwetsbaarheden permanent aanwezig</w:t>
      </w:r>
      <w:bookmarkEnd w:id="13"/>
      <w:r>
        <w:t xml:space="preserve"> </w:t>
      </w:r>
    </w:p>
    <w:p w14:paraId="011FD407" w14:textId="2536838C" w:rsidR="000B56D1" w:rsidRDefault="00415BFB">
      <w:pPr>
        <w:contextualSpacing w:val="0"/>
      </w:pPr>
      <w:r>
        <w:t>De laatste jaren verandert het beeld over dreigingen en kwetsbaarheden weinig. Ze worden vooral veroorzaakt door statelijke actoren, cybercriminelen, (h)</w:t>
      </w:r>
      <w:proofErr w:type="spellStart"/>
      <w:r>
        <w:t>acktivisten</w:t>
      </w:r>
      <w:proofErr w:type="spellEnd"/>
      <w:r>
        <w:t xml:space="preserve"> en mensen binnen organisaties die onbedoeld incidenten veroorzaken. Het aantal incidenten blijft nog steeds stijgen. Ook worden er steeds meer kwetsbaarheden gevonden in systemen en applicaties en blijven DDoS-aanvallen, </w:t>
      </w:r>
      <w:proofErr w:type="spellStart"/>
      <w:r>
        <w:t>phishing</w:t>
      </w:r>
      <w:proofErr w:type="spellEnd"/>
      <w:r>
        <w:t xml:space="preserve">-mails en </w:t>
      </w:r>
      <w:proofErr w:type="spellStart"/>
      <w:r>
        <w:t>ransomware</w:t>
      </w:r>
      <w:proofErr w:type="spellEnd"/>
      <w:r>
        <w:t>-aanvallen aan de orde van de dag.</w:t>
      </w:r>
    </w:p>
    <w:p w14:paraId="041127E5" w14:textId="77777777" w:rsidR="000B56D1" w:rsidRDefault="000B56D1">
      <w:pPr>
        <w:contextualSpacing w:val="0"/>
      </w:pPr>
    </w:p>
    <w:p w14:paraId="06177FF0" w14:textId="77777777" w:rsidR="00965FBC" w:rsidRDefault="00415BFB">
      <w:pPr>
        <w:contextualSpacing w:val="0"/>
      </w:pPr>
      <w:bookmarkStart w:id="14" w:name="_Toc144896471"/>
      <w:r w:rsidRPr="000B56D1">
        <w:rPr>
          <w:rStyle w:val="OndertitelChar"/>
        </w:rPr>
        <w:t>Weerbaarheid blijft aandachtspunt</w:t>
      </w:r>
      <w:bookmarkEnd w:id="14"/>
      <w:r>
        <w:t xml:space="preserve"> </w:t>
      </w:r>
    </w:p>
    <w:p w14:paraId="7040EEF7" w14:textId="4E93BD7A" w:rsidR="00415BFB" w:rsidRDefault="00415BFB">
      <w:pPr>
        <w:contextualSpacing w:val="0"/>
      </w:pPr>
      <w:r>
        <w:t xml:space="preserve">De professionaliteit van </w:t>
      </w:r>
      <w:proofErr w:type="spellStart"/>
      <w:r>
        <w:t>kwaadwillenden</w:t>
      </w:r>
      <w:proofErr w:type="spellEnd"/>
      <w:r>
        <w:t xml:space="preserve"> ontwikkelt zich vaak sneller dan de snelheid waarmee instellingen hun weerbaarheid kunnen verbeteren. De snelheid waarmee nieuwe aanvalstechnieken worden ontwikkeld is aanzienlijk en zorgt voor permanente uitdaging om bij te blijven. De metingen die SURF uitvoert op procesvolwassenheid, internetveiligheid en awareness, laten zien dat weerbaarheid een aandachtspunt blijft. Het besef groeit dat niet alleen de interne processen en systemen op orde moeten zijn, maar dat ook het menselijk handelen en processen voor samenwerkingsverbanden, ketenpartners en leveranciers aan passende richtlijnen moeten voldoen.</w:t>
      </w:r>
    </w:p>
    <w:p w14:paraId="0AD2765B" w14:textId="77777777" w:rsidR="00415BFB" w:rsidRDefault="00415BFB">
      <w:pPr>
        <w:contextualSpacing w:val="0"/>
      </w:pPr>
    </w:p>
    <w:p w14:paraId="0985BEF8" w14:textId="77777777" w:rsidR="00965FBC" w:rsidRDefault="00415BFB" w:rsidP="00965FBC">
      <w:pPr>
        <w:pStyle w:val="Ondertitel"/>
      </w:pPr>
      <w:bookmarkStart w:id="15" w:name="_Toc144896472"/>
      <w:r>
        <w:t>Incidenten beter gedetecteerd maar nog niet altijd gedeeld</w:t>
      </w:r>
      <w:bookmarkEnd w:id="15"/>
    </w:p>
    <w:p w14:paraId="18098961" w14:textId="77777777" w:rsidR="00965FBC" w:rsidRDefault="00415BFB">
      <w:pPr>
        <w:contextualSpacing w:val="0"/>
      </w:pPr>
      <w:r>
        <w:t xml:space="preserve">Instellingen worden beter in het detecteren van incidenten, zeker nu steeds meer instellingen monitoring en detectie inrichten of uitbesteden. Toch nemen instellingen tijdens een incident niet altijd contact op met </w:t>
      </w:r>
      <w:proofErr w:type="spellStart"/>
      <w:r>
        <w:t>SURFcert</w:t>
      </w:r>
      <w:proofErr w:type="spellEnd"/>
      <w:r>
        <w:t xml:space="preserve">. Niet alleen kan </w:t>
      </w:r>
      <w:proofErr w:type="spellStart"/>
      <w:r>
        <w:t>SURFcert</w:t>
      </w:r>
      <w:proofErr w:type="spellEnd"/>
      <w:r>
        <w:t xml:space="preserve"> ondersteuning bieden, maar kunnen zij ook de (technische) informatie over het incident delen om andere instellingen voor eenzelfde lot te behoeden. </w:t>
      </w:r>
    </w:p>
    <w:p w14:paraId="1EC4C498" w14:textId="77777777" w:rsidR="00965FBC" w:rsidRDefault="00965FBC">
      <w:pPr>
        <w:contextualSpacing w:val="0"/>
      </w:pPr>
    </w:p>
    <w:p w14:paraId="30B61A77" w14:textId="77777777" w:rsidR="00965FBC" w:rsidRDefault="00415BFB">
      <w:pPr>
        <w:contextualSpacing w:val="0"/>
      </w:pPr>
      <w:bookmarkStart w:id="16" w:name="_Toc144896473"/>
      <w:r w:rsidRPr="00965FBC">
        <w:rPr>
          <w:rStyle w:val="OndertitelChar"/>
        </w:rPr>
        <w:t>Risicobeheer nog in de kinderschoenen</w:t>
      </w:r>
      <w:bookmarkEnd w:id="16"/>
      <w:r>
        <w:t xml:space="preserve"> </w:t>
      </w:r>
    </w:p>
    <w:p w14:paraId="0C705DFA" w14:textId="386D95D5" w:rsidR="00415BFB" w:rsidRPr="00965FBC" w:rsidRDefault="00415BFB">
      <w:pPr>
        <w:contextualSpacing w:val="0"/>
      </w:pPr>
      <w:r>
        <w:t xml:space="preserve">Er zijn nog maar weinig instellingen die </w:t>
      </w:r>
      <w:r w:rsidR="00CA7074">
        <w:t>risico gebaseerd</w:t>
      </w:r>
      <w:r>
        <w:t xml:space="preserve"> werken. </w:t>
      </w:r>
      <w:r w:rsidR="00CA7074">
        <w:t>Risico eigenaarschap</w:t>
      </w:r>
      <w:r>
        <w:t xml:space="preserve"> is nog beperkt ingebed bij het hogere management. Functionarissen die risico-eigenaren moeten ondersteunen zijn vaak nog niet goed in positie gebracht en worden gehinderd door capaciteitsproblemen. Toch zien we dat bestuurders steeds meer betrokken zijn en in de hele sector worden verbeterprogramma’s uitgevoerd.</w:t>
      </w:r>
      <w:r>
        <w:rPr>
          <w:rFonts w:eastAsia="Times New Roman"/>
        </w:rPr>
        <w:br w:type="page"/>
      </w:r>
    </w:p>
    <w:p w14:paraId="2E3F21E0" w14:textId="0A172EF6" w:rsidR="00965FBC" w:rsidRDefault="00415BFB" w:rsidP="00851E38">
      <w:pPr>
        <w:pStyle w:val="Kop2"/>
      </w:pPr>
      <w:bookmarkStart w:id="17" w:name="_Toc144896474"/>
      <w:bookmarkEnd w:id="12"/>
      <w:r>
        <w:lastRenderedPageBreak/>
        <w:t>Dashboard sectoraal beeld 2022</w:t>
      </w:r>
      <w:bookmarkEnd w:id="17"/>
      <w:r>
        <w:t xml:space="preserve"> </w:t>
      </w:r>
    </w:p>
    <w:p w14:paraId="3671583A" w14:textId="77777777" w:rsidR="00965FBC" w:rsidRPr="00965FBC" w:rsidRDefault="00965FBC" w:rsidP="00965FBC">
      <w:pPr>
        <w:rPr>
          <w:lang w:eastAsia="nl-NL"/>
        </w:rPr>
      </w:pPr>
    </w:p>
    <w:p w14:paraId="0A912E10" w14:textId="77777777" w:rsidR="00965FBC" w:rsidRDefault="00415BFB" w:rsidP="00965FBC">
      <w:pPr>
        <w:pStyle w:val="Geenafstand"/>
      </w:pPr>
      <w:bookmarkStart w:id="18" w:name="_Toc144896475"/>
      <w:r w:rsidRPr="00965FBC">
        <w:rPr>
          <w:rStyle w:val="OndertitelChar"/>
        </w:rPr>
        <w:t>Risicobeeld 2022</w:t>
      </w:r>
      <w:bookmarkEnd w:id="18"/>
      <w:r>
        <w:t xml:space="preserve"> </w:t>
      </w:r>
    </w:p>
    <w:p w14:paraId="4027754A" w14:textId="3A6D8848" w:rsidR="00415BFB" w:rsidRDefault="00415BFB" w:rsidP="00A76C5C">
      <w:pPr>
        <w:spacing w:after="160" w:line="259" w:lineRule="auto"/>
        <w:contextualSpacing w:val="0"/>
      </w:pPr>
      <w:r>
        <w:t>Ten opzichte van het vorige dreigingsbeeld valt op dat dit jaar geen van de risicocategorieën als ‘zeer hoog’ wordt ingeschat. Daarnaast zijn er twee nieuwe categorieën toegevoegd: Onveilig gedrag en gebrek aan awareness en Capaciteitstekort.</w:t>
      </w:r>
    </w:p>
    <w:p w14:paraId="49F96D59" w14:textId="17120B40" w:rsidR="00415BFB" w:rsidRDefault="00965FBC" w:rsidP="00A76C5C">
      <w:pPr>
        <w:spacing w:after="160" w:line="259" w:lineRule="auto"/>
        <w:contextualSpacing w:val="0"/>
      </w:pPr>
      <w:r w:rsidRPr="00415BFB">
        <w:rPr>
          <w:noProof/>
        </w:rPr>
        <w:drawing>
          <wp:anchor distT="0" distB="0" distL="114300" distR="114300" simplePos="0" relativeHeight="251661312" behindDoc="0" locked="0" layoutInCell="1" allowOverlap="1" wp14:anchorId="23EDB710" wp14:editId="19188D8E">
            <wp:simplePos x="0" y="0"/>
            <wp:positionH relativeFrom="margin">
              <wp:align>left</wp:align>
            </wp:positionH>
            <wp:positionV relativeFrom="paragraph">
              <wp:posOffset>6350</wp:posOffset>
            </wp:positionV>
            <wp:extent cx="5226050" cy="2355215"/>
            <wp:effectExtent l="0" t="0" r="0" b="6985"/>
            <wp:wrapThrough wrapText="bothSides">
              <wp:wrapPolygon edited="0">
                <wp:start x="0" y="0"/>
                <wp:lineTo x="0" y="21489"/>
                <wp:lineTo x="21495" y="21489"/>
                <wp:lineTo x="21495" y="0"/>
                <wp:lineTo x="0" y="0"/>
              </wp:wrapPolygon>
            </wp:wrapThrough>
            <wp:docPr id="4" name="Afbeelding 4"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nummer, Lettertyp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226050" cy="2355215"/>
                    </a:xfrm>
                    <a:prstGeom prst="rect">
                      <a:avLst/>
                    </a:prstGeom>
                  </pic:spPr>
                </pic:pic>
              </a:graphicData>
            </a:graphic>
            <wp14:sizeRelH relativeFrom="page">
              <wp14:pctWidth>0</wp14:pctWidth>
            </wp14:sizeRelH>
            <wp14:sizeRelV relativeFrom="page">
              <wp14:pctHeight>0</wp14:pctHeight>
            </wp14:sizeRelV>
          </wp:anchor>
        </w:drawing>
      </w:r>
    </w:p>
    <w:p w14:paraId="0C33B705" w14:textId="77777777" w:rsidR="00965FBC" w:rsidRDefault="00965FBC" w:rsidP="00965FBC">
      <w:pPr>
        <w:pStyle w:val="Ondertitel"/>
      </w:pPr>
    </w:p>
    <w:p w14:paraId="38021918" w14:textId="77777777" w:rsidR="00965FBC" w:rsidRDefault="00965FBC" w:rsidP="00965FBC">
      <w:pPr>
        <w:pStyle w:val="Ondertitel"/>
      </w:pPr>
    </w:p>
    <w:p w14:paraId="0CAC9B70" w14:textId="77777777" w:rsidR="00965FBC" w:rsidRDefault="00965FBC" w:rsidP="00965FBC">
      <w:pPr>
        <w:pStyle w:val="Ondertitel"/>
      </w:pPr>
    </w:p>
    <w:p w14:paraId="5BE0DF08" w14:textId="77777777" w:rsidR="00965FBC" w:rsidRDefault="00965FBC" w:rsidP="00965FBC">
      <w:pPr>
        <w:pStyle w:val="Ondertitel"/>
      </w:pPr>
    </w:p>
    <w:p w14:paraId="117F7E8F" w14:textId="77777777" w:rsidR="00965FBC" w:rsidRDefault="00965FBC" w:rsidP="00965FBC">
      <w:pPr>
        <w:pStyle w:val="Ondertitel"/>
      </w:pPr>
    </w:p>
    <w:p w14:paraId="65979D22" w14:textId="77777777" w:rsidR="00965FBC" w:rsidRDefault="00965FBC" w:rsidP="00965FBC">
      <w:pPr>
        <w:pStyle w:val="Ondertitel"/>
      </w:pPr>
    </w:p>
    <w:p w14:paraId="708997B2" w14:textId="77777777" w:rsidR="00965FBC" w:rsidRDefault="00965FBC" w:rsidP="00965FBC">
      <w:pPr>
        <w:pStyle w:val="Ondertitel"/>
      </w:pPr>
    </w:p>
    <w:p w14:paraId="71DC4CD9" w14:textId="77777777" w:rsidR="00965FBC" w:rsidRDefault="00965FBC" w:rsidP="00965FBC">
      <w:pPr>
        <w:pStyle w:val="Ondertitel"/>
      </w:pPr>
    </w:p>
    <w:p w14:paraId="762D78D8" w14:textId="77777777" w:rsidR="00965FBC" w:rsidRDefault="00965FBC" w:rsidP="00965FBC">
      <w:pPr>
        <w:pStyle w:val="Ondertitel"/>
      </w:pPr>
    </w:p>
    <w:p w14:paraId="1903A044" w14:textId="77777777" w:rsidR="00965FBC" w:rsidRDefault="00965FBC" w:rsidP="00965FBC">
      <w:pPr>
        <w:pStyle w:val="Ondertitel"/>
      </w:pPr>
    </w:p>
    <w:p w14:paraId="0CCA2122" w14:textId="77777777" w:rsidR="00965FBC" w:rsidRDefault="00965FBC" w:rsidP="00965FBC">
      <w:pPr>
        <w:pStyle w:val="Ondertitel"/>
      </w:pPr>
    </w:p>
    <w:p w14:paraId="773B312E" w14:textId="77777777" w:rsidR="00965FBC" w:rsidRDefault="00965FBC" w:rsidP="00965FBC">
      <w:pPr>
        <w:pStyle w:val="Ondertitel"/>
      </w:pPr>
    </w:p>
    <w:p w14:paraId="412AFAE5" w14:textId="77777777" w:rsidR="00965FBC" w:rsidRDefault="00965FBC" w:rsidP="00965FBC">
      <w:pPr>
        <w:pStyle w:val="Ondertitel"/>
      </w:pPr>
    </w:p>
    <w:p w14:paraId="6798056E" w14:textId="77777777" w:rsidR="00965FBC" w:rsidRDefault="00965FBC">
      <w:pPr>
        <w:contextualSpacing w:val="0"/>
        <w:rPr>
          <w:rFonts w:eastAsiaTheme="majorEastAsia" w:cstheme="majorBidi"/>
          <w:b/>
          <w:color w:val="0070C0"/>
          <w:sz w:val="22"/>
          <w:szCs w:val="24"/>
        </w:rPr>
      </w:pPr>
      <w:r>
        <w:br w:type="page"/>
      </w:r>
    </w:p>
    <w:p w14:paraId="0CA3FF27" w14:textId="28E801C1" w:rsidR="00965FBC" w:rsidRDefault="00415BFB" w:rsidP="00965FBC">
      <w:pPr>
        <w:pStyle w:val="Ondertitel"/>
      </w:pPr>
      <w:bookmarkStart w:id="19" w:name="_Toc144896476"/>
      <w:r>
        <w:lastRenderedPageBreak/>
        <w:t>Incidentbeeld in 2022</w:t>
      </w:r>
      <w:bookmarkEnd w:id="19"/>
      <w:r>
        <w:t xml:space="preserve"> </w:t>
      </w:r>
    </w:p>
    <w:p w14:paraId="615DA523" w14:textId="3467C958" w:rsidR="00415BFB" w:rsidRDefault="00415BFB" w:rsidP="00A76C5C">
      <w:pPr>
        <w:spacing w:after="160" w:line="259" w:lineRule="auto"/>
        <w:contextualSpacing w:val="0"/>
      </w:pPr>
      <w:r>
        <w:t>In 2022 hebben er incidenten plaatsgevonden in alle risicocategorieën uit het Cyberdreigingsbeeld van 2021-2022</w:t>
      </w:r>
    </w:p>
    <w:p w14:paraId="77D8F134" w14:textId="19786D5D" w:rsidR="00415BFB" w:rsidRDefault="00415BFB" w:rsidP="00A76C5C">
      <w:pPr>
        <w:spacing w:after="160" w:line="259" w:lineRule="auto"/>
        <w:contextualSpacing w:val="0"/>
      </w:pPr>
      <w:r w:rsidRPr="00415BFB">
        <w:rPr>
          <w:noProof/>
          <w:szCs w:val="22"/>
        </w:rPr>
        <w:drawing>
          <wp:anchor distT="0" distB="0" distL="114300" distR="114300" simplePos="0" relativeHeight="251660288" behindDoc="0" locked="0" layoutInCell="1" allowOverlap="1" wp14:anchorId="6622C11C" wp14:editId="695DF68D">
            <wp:simplePos x="0" y="0"/>
            <wp:positionH relativeFrom="margin">
              <wp:posOffset>76200</wp:posOffset>
            </wp:positionH>
            <wp:positionV relativeFrom="paragraph">
              <wp:posOffset>3175</wp:posOffset>
            </wp:positionV>
            <wp:extent cx="4108450" cy="2147570"/>
            <wp:effectExtent l="0" t="0" r="6350" b="5080"/>
            <wp:wrapThrough wrapText="bothSides">
              <wp:wrapPolygon edited="0">
                <wp:start x="0" y="0"/>
                <wp:lineTo x="0" y="21459"/>
                <wp:lineTo x="21533" y="21459"/>
                <wp:lineTo x="21533" y="0"/>
                <wp:lineTo x="0" y="0"/>
              </wp:wrapPolygon>
            </wp:wrapThrough>
            <wp:docPr id="5" name="Afbeelding 5"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nummer&#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4108450" cy="2147570"/>
                    </a:xfrm>
                    <a:prstGeom prst="rect">
                      <a:avLst/>
                    </a:prstGeom>
                  </pic:spPr>
                </pic:pic>
              </a:graphicData>
            </a:graphic>
            <wp14:sizeRelH relativeFrom="page">
              <wp14:pctWidth>0</wp14:pctWidth>
            </wp14:sizeRelH>
            <wp14:sizeRelV relativeFrom="page">
              <wp14:pctHeight>0</wp14:pctHeight>
            </wp14:sizeRelV>
          </wp:anchor>
        </w:drawing>
      </w:r>
    </w:p>
    <w:p w14:paraId="1819B874" w14:textId="2DC5FE2D" w:rsidR="00415BFB" w:rsidRDefault="00415BFB" w:rsidP="00A76C5C">
      <w:pPr>
        <w:spacing w:after="160" w:line="259" w:lineRule="auto"/>
        <w:contextualSpacing w:val="0"/>
      </w:pPr>
    </w:p>
    <w:p w14:paraId="1FB4DB7E" w14:textId="78552DC3" w:rsidR="00415BFB" w:rsidRDefault="00415BFB" w:rsidP="00A76C5C">
      <w:pPr>
        <w:spacing w:after="160" w:line="259" w:lineRule="auto"/>
        <w:contextualSpacing w:val="0"/>
      </w:pPr>
    </w:p>
    <w:p w14:paraId="76C98C7F" w14:textId="2D1FCB51" w:rsidR="00415BFB" w:rsidRDefault="00415BFB" w:rsidP="00A76C5C">
      <w:pPr>
        <w:spacing w:after="160" w:line="259" w:lineRule="auto"/>
        <w:contextualSpacing w:val="0"/>
      </w:pPr>
    </w:p>
    <w:p w14:paraId="37C79A8C" w14:textId="7F80C891" w:rsidR="00415BFB" w:rsidRDefault="00415BFB" w:rsidP="00A76C5C">
      <w:pPr>
        <w:spacing w:after="160" w:line="259" w:lineRule="auto"/>
        <w:contextualSpacing w:val="0"/>
      </w:pPr>
    </w:p>
    <w:p w14:paraId="0A9B6F78" w14:textId="08100DC3" w:rsidR="00415BFB" w:rsidRDefault="00415BFB" w:rsidP="00A76C5C">
      <w:pPr>
        <w:spacing w:after="160" w:line="259" w:lineRule="auto"/>
        <w:contextualSpacing w:val="0"/>
      </w:pPr>
    </w:p>
    <w:p w14:paraId="6AECAA09" w14:textId="39CA1AF1" w:rsidR="00415BFB" w:rsidRDefault="00415BFB" w:rsidP="00A76C5C">
      <w:pPr>
        <w:spacing w:after="160" w:line="259" w:lineRule="auto"/>
        <w:contextualSpacing w:val="0"/>
      </w:pPr>
    </w:p>
    <w:p w14:paraId="0F7235A9" w14:textId="0C8356B6" w:rsidR="00415BFB" w:rsidRDefault="00415BFB" w:rsidP="00A76C5C">
      <w:pPr>
        <w:spacing w:after="160" w:line="259" w:lineRule="auto"/>
        <w:contextualSpacing w:val="0"/>
      </w:pPr>
    </w:p>
    <w:p w14:paraId="25A22E01" w14:textId="77777777" w:rsidR="00965FBC" w:rsidRDefault="00965FBC" w:rsidP="00A76C5C">
      <w:pPr>
        <w:spacing w:after="160" w:line="259" w:lineRule="auto"/>
        <w:contextualSpacing w:val="0"/>
      </w:pPr>
    </w:p>
    <w:p w14:paraId="1DC32988" w14:textId="3513414A" w:rsidR="00965FBC" w:rsidRDefault="00851E38" w:rsidP="00851E38">
      <w:pPr>
        <w:pStyle w:val="Kop2"/>
      </w:pPr>
      <w:bookmarkStart w:id="20" w:name="_Toc144896477"/>
      <w:r>
        <w:t>R</w:t>
      </w:r>
      <w:r w:rsidR="00965FBC">
        <w:t>isicobeheer</w:t>
      </w:r>
      <w:bookmarkEnd w:id="20"/>
    </w:p>
    <w:p w14:paraId="1A7561C9" w14:textId="20F4A388" w:rsidR="00415BFB" w:rsidRDefault="000B56D1" w:rsidP="00965FBC">
      <w:pPr>
        <w:pStyle w:val="Geenafstand"/>
      </w:pPr>
      <w:r>
        <w:t xml:space="preserve">Het algemene beeld voor heel Nederland is helder in de Nederlandse Cybersecurity Strategie: ‘Risicomanagement staat nog in de kinderschoenen’. Risicobeheer blijkt vaak organisatorisch complex te zijn, ook in onze sector. We zien dit terug in de </w:t>
      </w:r>
      <w:proofErr w:type="spellStart"/>
      <w:r>
        <w:t>SURFaudit</w:t>
      </w:r>
      <w:proofErr w:type="spellEnd"/>
      <w:r>
        <w:t xml:space="preserve"> benchmark, het instrument waarmee de compliance wordt gemeten tegen het </w:t>
      </w:r>
      <w:proofErr w:type="spellStart"/>
      <w:r>
        <w:t>SURFaudit</w:t>
      </w:r>
      <w:proofErr w:type="spellEnd"/>
      <w:r>
        <w:t xml:space="preserve"> toetsingskader informatiebeveiliging. De benchmark scores laten zien dat het volwassenheidsniveau van risicobeheer en </w:t>
      </w:r>
      <w:proofErr w:type="spellStart"/>
      <w:r>
        <w:t>governance</w:t>
      </w:r>
      <w:proofErr w:type="spellEnd"/>
      <w:r>
        <w:t xml:space="preserve"> bij de deelnemende leden nog niet op het geambieerde volwassenheidsniveau 3 is. Het volwassenheidsniveau van het domein risicobeheer is al twee metingen op rij de laagste van alle vijftien deelgebieden van het toetsingskader. Instellingen die bij risicobeheer op niveau 2 zijn, hebben wel beleid en processen voor (informatiebeveiliging)risicobeheer, maar gebruiken die voornamelijk bij grote projecten of als reactie op problemen. Informatie- en privacy risicobeoordeling op basis van organisatiedoelstellingen gebeurt op beperkte schaal. Daarbij is het eigenaarschap van risico’s slechts gedeeltelijk toegewezen aan senior managers.</w:t>
      </w:r>
    </w:p>
    <w:p w14:paraId="40FBC08F" w14:textId="643252B3" w:rsidR="000B56D1" w:rsidRDefault="000B56D1" w:rsidP="00A76C5C">
      <w:pPr>
        <w:spacing w:after="160" w:line="259" w:lineRule="auto"/>
        <w:contextualSpacing w:val="0"/>
      </w:pPr>
      <w:r>
        <w:t xml:space="preserve">Uit de survey blijkt dat bestuurders van de meeste instellingen met regelmaat rapportages over informatiebeveiliging en privacy ontvangen. Bij bijna de helft van de instellingen vindt daarbij elk kwartaal een dialoog plaats tussen het college van bestuur en de rapporterende functionaris. Er is weinig uniformiteit in de rapportagevormen: de respondenten van de survey rapporteren elk op hun eigen wijze aan verschillende gremia. </w:t>
      </w:r>
    </w:p>
    <w:p w14:paraId="7C43A6E0" w14:textId="77777777" w:rsidR="00851E38" w:rsidRPr="00851E38" w:rsidRDefault="000B56D1" w:rsidP="00851E38">
      <w:pPr>
        <w:pStyle w:val="Kop2"/>
        <w:rPr>
          <w:rStyle w:val="Kop2Char"/>
          <w:b/>
          <w:bCs/>
        </w:rPr>
      </w:pPr>
      <w:bookmarkStart w:id="21" w:name="_Toc144896478"/>
      <w:r w:rsidRPr="00851E38">
        <w:rPr>
          <w:rStyle w:val="Kop2Char"/>
          <w:b/>
          <w:bCs/>
        </w:rPr>
        <w:t>Ketenafhankelijkheid</w:t>
      </w:r>
      <w:bookmarkEnd w:id="21"/>
      <w:r w:rsidRPr="00851E38">
        <w:rPr>
          <w:rStyle w:val="Kop2Char"/>
          <w:b/>
          <w:bCs/>
        </w:rPr>
        <w:t xml:space="preserve"> </w:t>
      </w:r>
    </w:p>
    <w:p w14:paraId="068F5E6C" w14:textId="544BE7C1" w:rsidR="000B56D1" w:rsidRDefault="000B56D1" w:rsidP="00A76C5C">
      <w:pPr>
        <w:spacing w:after="160" w:line="259" w:lineRule="auto"/>
        <w:contextualSpacing w:val="0"/>
      </w:pPr>
      <w:r>
        <w:t xml:space="preserve">De categorie Ketenafhankelijkheid heette vorige jaar Afhankelijkheid van clouddiensten. We hebben de naam aangepast om een bredere lading te dekken. Respondenten gaven aan dat zij niet alleen met </w:t>
      </w:r>
      <w:proofErr w:type="spellStart"/>
      <w:r>
        <w:t>cloud</w:t>
      </w:r>
      <w:proofErr w:type="spellEnd"/>
      <w:r>
        <w:t>-leveranciers, maar ook met andere leveranciers uitdagingen ervaren. Bovendien is het van belang om ook de risico’s bij samenwerkingen met partnerorganisaties te beheersen. Organisaties zijn digitaal verbonden en verweven, ook met samenwerkings</w:t>
      </w:r>
      <w:r w:rsidR="00851E38">
        <w:t>p</w:t>
      </w:r>
      <w:r>
        <w:t xml:space="preserve">artners, leveranciers en overheden. Wanneer een </w:t>
      </w:r>
      <w:r>
        <w:lastRenderedPageBreak/>
        <w:t xml:space="preserve">van de partijen wordt getroffen door een incident, kan dat gevolgen hebben voor meerdere organisaties. En die gevolgen kunnen zich uitstrekken buiten informatiebeveiliging: toen in 2022 een leverancier van toegangspassen was getroffen door een incident, was dat niet alleen een </w:t>
      </w:r>
      <w:proofErr w:type="spellStart"/>
      <w:r>
        <w:t>datalek</w:t>
      </w:r>
      <w:proofErr w:type="spellEnd"/>
      <w:r>
        <w:t>, maar was er ook een mogelijke impact op de fysieke beveiliging</w:t>
      </w:r>
    </w:p>
    <w:p w14:paraId="4928C576" w14:textId="77777777" w:rsidR="00851E38" w:rsidRDefault="000B56D1" w:rsidP="00851E38">
      <w:pPr>
        <w:pStyle w:val="Kop2"/>
      </w:pPr>
      <w:bookmarkStart w:id="22" w:name="_Toc144896479"/>
      <w:r>
        <w:t>Capaciteitstekort</w:t>
      </w:r>
      <w:bookmarkEnd w:id="22"/>
      <w:r>
        <w:t xml:space="preserve"> </w:t>
      </w:r>
    </w:p>
    <w:p w14:paraId="60AFEE33" w14:textId="38A8BC52" w:rsidR="000B56D1" w:rsidRDefault="000B56D1" w:rsidP="00851E38">
      <w:pPr>
        <w:pStyle w:val="Geenafstand"/>
      </w:pPr>
      <w:r>
        <w:t>We hebben deze categorie dit jaar toegevoegd omdat het tekort aan mensen en kennis in de survey veelvuldig werd genoemd als een hoog tot zeer hoog urgent risico, dat ook andere risicocategorieën beïnvloedt: maar liefst 81% van de respondenten in de survey gaf aan dat hun instelling onvoldoende mensen heeft om informatiebeveiligings- en privacy</w:t>
      </w:r>
      <w:r w:rsidR="00E45903">
        <w:t xml:space="preserve"> </w:t>
      </w:r>
      <w:r>
        <w:t xml:space="preserve">taken uit te voeren. Tijdelijke inhuur van professionals lijkt dit probleem niet op te lossen omdat ook </w:t>
      </w:r>
      <w:proofErr w:type="spellStart"/>
      <w:r>
        <w:t>ict</w:t>
      </w:r>
      <w:proofErr w:type="spellEnd"/>
      <w:r>
        <w:t xml:space="preserve">-dienstverleners kampen met personeelstekorten. Vacatures voor informatiebeveiliging en privacy zijn lastig te vervullen. Het probleem is niet beperkt tot informatieveiligheid, maar betreft de hele </w:t>
      </w:r>
      <w:proofErr w:type="spellStart"/>
      <w:r>
        <w:t>ict</w:t>
      </w:r>
      <w:proofErr w:type="spellEnd"/>
      <w:r>
        <w:t xml:space="preserve">-sector. Door gebrek aan goed geschoolde en ervaren medewerkers kunnen instellingen niet groeien in weerbaarheid en cybervolwassenheid. </w:t>
      </w:r>
    </w:p>
    <w:p w14:paraId="4F288734" w14:textId="77777777" w:rsidR="00851E38" w:rsidRDefault="00851E38" w:rsidP="00851E38">
      <w:pPr>
        <w:pStyle w:val="Geenafstand"/>
      </w:pPr>
    </w:p>
    <w:p w14:paraId="1B48326E" w14:textId="77777777" w:rsidR="00851E38" w:rsidRPr="00851E38" w:rsidRDefault="000B56D1" w:rsidP="00851E38">
      <w:pPr>
        <w:pStyle w:val="Kop2"/>
      </w:pPr>
      <w:bookmarkStart w:id="23" w:name="_Toc144896480"/>
      <w:r w:rsidRPr="00851E38">
        <w:rPr>
          <w:rStyle w:val="Kop2Char"/>
          <w:b/>
          <w:bCs/>
        </w:rPr>
        <w:t>Onveilig gedrag en gebrek aan awareness</w:t>
      </w:r>
      <w:bookmarkEnd w:id="23"/>
      <w:r w:rsidRPr="00851E38">
        <w:t xml:space="preserve"> </w:t>
      </w:r>
    </w:p>
    <w:p w14:paraId="34476692" w14:textId="77777777" w:rsidR="00565B2C" w:rsidRDefault="000B56D1" w:rsidP="00851E38">
      <w:pPr>
        <w:pStyle w:val="Geenafstand"/>
      </w:pPr>
      <w:r>
        <w:t xml:space="preserve">De meerderheid van cyberincidenten vindt plaats als gevolg van onbedoeld onveilig handelen door mensen. Dit beeld is niet uniek voor onze sector. Voor veel mensen is het nog geen routine om basale cybersecuritymaatregelen toe te passen, of om daarbij hulp te vragen. Van medewerkers en studenten wordt verwacht dat zij weten hoe zij met </w:t>
      </w:r>
      <w:proofErr w:type="spellStart"/>
      <w:r>
        <w:t>ict</w:t>
      </w:r>
      <w:proofErr w:type="spellEnd"/>
      <w:r>
        <w:t xml:space="preserve"> moeten omgaan, terwijl niet iedereen daarin een basisniveau heeft. Bovendien kan hoge werkdruk leiden tot vergissingen. Uit de reacties van de respondenten bleek dat bepaalde soorten vergissingen binnen hun organisatie herhaaldelijk de oorzaak waren van incidenten:</w:t>
      </w:r>
    </w:p>
    <w:p w14:paraId="76AC009C" w14:textId="77777777" w:rsidR="00565B2C" w:rsidRDefault="000B56D1" w:rsidP="00E45903">
      <w:pPr>
        <w:pStyle w:val="Geenafstand"/>
        <w:ind w:left="567"/>
      </w:pPr>
      <w:r>
        <w:t xml:space="preserve">• Fouten met het versturen van e-mails, waarbij persoonsgegevens bij de verkeerde ontvanger terecht komen. </w:t>
      </w:r>
    </w:p>
    <w:p w14:paraId="07D395FD" w14:textId="77777777" w:rsidR="00565B2C" w:rsidRDefault="000B56D1" w:rsidP="00E45903">
      <w:pPr>
        <w:pStyle w:val="Geenafstand"/>
        <w:ind w:left="567"/>
      </w:pPr>
      <w:r>
        <w:t xml:space="preserve">• Klikken op linkjes in </w:t>
      </w:r>
      <w:proofErr w:type="spellStart"/>
      <w:r>
        <w:t>phishingmails</w:t>
      </w:r>
      <w:proofErr w:type="spellEnd"/>
      <w:r>
        <w:t xml:space="preserve"> en vervolgens accountgegevens invoeren op een malafide website.</w:t>
      </w:r>
    </w:p>
    <w:p w14:paraId="42B27DD7" w14:textId="77777777" w:rsidR="00565B2C" w:rsidRDefault="000B56D1" w:rsidP="00E45903">
      <w:pPr>
        <w:pStyle w:val="Geenafstand"/>
        <w:ind w:left="567"/>
      </w:pPr>
      <w:r>
        <w:t xml:space="preserve">• Een drive met documenten delen met personen die daartoe geen toegang nodig hebben. </w:t>
      </w:r>
    </w:p>
    <w:p w14:paraId="14C24DB9" w14:textId="77777777" w:rsidR="00565B2C" w:rsidRDefault="000B56D1" w:rsidP="00E45903">
      <w:pPr>
        <w:pStyle w:val="Geenafstand"/>
        <w:ind w:left="567"/>
      </w:pPr>
      <w:r>
        <w:t xml:space="preserve">• Het delen van inloggegevens. </w:t>
      </w:r>
    </w:p>
    <w:p w14:paraId="2E2B5AE2" w14:textId="77777777" w:rsidR="00565B2C" w:rsidRDefault="000B56D1" w:rsidP="00E45903">
      <w:pPr>
        <w:pStyle w:val="Geenafstand"/>
        <w:ind w:left="567"/>
      </w:pPr>
      <w:r>
        <w:t xml:space="preserve">• Onvoldoende kennis van autorisaties in een samenwerkingsomgeving. </w:t>
      </w:r>
    </w:p>
    <w:p w14:paraId="4DA1C455" w14:textId="77777777" w:rsidR="00565B2C" w:rsidRDefault="000B56D1" w:rsidP="00E45903">
      <w:pPr>
        <w:pStyle w:val="Geenafstand"/>
        <w:ind w:left="567"/>
      </w:pPr>
      <w:r>
        <w:t xml:space="preserve">• Vergissingen van </w:t>
      </w:r>
      <w:proofErr w:type="spellStart"/>
      <w:r>
        <w:t>ict</w:t>
      </w:r>
      <w:proofErr w:type="spellEnd"/>
      <w:r>
        <w:t xml:space="preserve">-beheerders bij wijzigingen in systemen waardoor de autorisaties veranderen. </w:t>
      </w:r>
    </w:p>
    <w:p w14:paraId="5D2409E0" w14:textId="77777777" w:rsidR="00565B2C" w:rsidRDefault="000B56D1" w:rsidP="00E45903">
      <w:pPr>
        <w:pStyle w:val="Geenafstand"/>
        <w:ind w:left="567"/>
      </w:pPr>
      <w:r>
        <w:t xml:space="preserve">• Buiten de procedures om </w:t>
      </w:r>
      <w:proofErr w:type="spellStart"/>
      <w:r>
        <w:t>ict</w:t>
      </w:r>
      <w:proofErr w:type="spellEnd"/>
      <w:r>
        <w:t xml:space="preserve"> inkopen, waardoor de basismaatregelen voor privacy en informatiebeveiliging niet zijn geborgd. </w:t>
      </w:r>
    </w:p>
    <w:p w14:paraId="2F6AE383" w14:textId="62B39D95" w:rsidR="000B56D1" w:rsidRDefault="000B56D1" w:rsidP="00851E38">
      <w:pPr>
        <w:pStyle w:val="Geenafstand"/>
      </w:pPr>
      <w:r>
        <w:t xml:space="preserve">De respondenten van de survey zijn het ermee eens dat structurele aandacht voor security en privacy onontbeerlijk is om een weerbare organisatie te zijn, en dat medewerkers hier een belangrijke rol in spelen. Een aantal respondenten geeft aan dat security en privacy nu te vrijblijvende thema’s zijn. Zij pleiten daarom voor het invoeren van bijvoorbeeld verplichte </w:t>
      </w:r>
      <w:r w:rsidR="00CA7074">
        <w:t>awareness trainingen</w:t>
      </w:r>
      <w:r>
        <w:t xml:space="preserve"> en </w:t>
      </w:r>
      <w:proofErr w:type="spellStart"/>
      <w:r>
        <w:t>phishingtesten</w:t>
      </w:r>
      <w:proofErr w:type="spellEnd"/>
      <w:r>
        <w:t>. De respondenten zien dit als een stok achter de deur; zij zijn zich ervan bewust dat collega's mogelijk minder gemotiveerd zijn door werkdruk, onduidelijke regels en gebrek aan interesse. Door awareness-activiteiten verplicht te maken, wordt voor de instelling ook duidelijk welke investering er van medewerkers verwacht wordt</w:t>
      </w:r>
    </w:p>
    <w:p w14:paraId="4BEDE982" w14:textId="452612E6" w:rsidR="00A76C5C" w:rsidRPr="00A76C5C" w:rsidRDefault="00A76C5C" w:rsidP="00A76C5C">
      <w:pPr>
        <w:spacing w:after="160" w:line="259" w:lineRule="auto"/>
        <w:contextualSpacing w:val="0"/>
        <w:rPr>
          <w:rFonts w:ascii="Calibri Light" w:eastAsia="Times New Roman" w:hAnsi="Calibri Light"/>
          <w:b/>
          <w:color w:val="2F5496"/>
          <w:sz w:val="26"/>
          <w:szCs w:val="26"/>
        </w:rPr>
      </w:pPr>
      <w:r w:rsidRPr="00A76C5C">
        <w:rPr>
          <w:szCs w:val="22"/>
        </w:rPr>
        <w:br w:type="page"/>
      </w:r>
    </w:p>
    <w:p w14:paraId="7416677B" w14:textId="40A21846" w:rsidR="00A76C5C" w:rsidRPr="00A76C5C" w:rsidRDefault="00A76C5C" w:rsidP="00851E38">
      <w:pPr>
        <w:pStyle w:val="Kop2"/>
        <w:rPr>
          <w:rFonts w:eastAsia="Times New Roman"/>
        </w:rPr>
      </w:pPr>
      <w:bookmarkStart w:id="24" w:name="_Toc119927033"/>
      <w:bookmarkStart w:id="25" w:name="_Toc144896481"/>
      <w:proofErr w:type="spellStart"/>
      <w:r w:rsidRPr="00A76C5C">
        <w:rPr>
          <w:rFonts w:eastAsia="Times New Roman"/>
        </w:rPr>
        <w:lastRenderedPageBreak/>
        <w:t>DPIA’s</w:t>
      </w:r>
      <w:proofErr w:type="spellEnd"/>
      <w:r w:rsidRPr="00A76C5C">
        <w:rPr>
          <w:rFonts w:eastAsia="Times New Roman"/>
        </w:rPr>
        <w:t xml:space="preserve"> van verschillende applicaties</w:t>
      </w:r>
      <w:bookmarkEnd w:id="24"/>
      <w:bookmarkEnd w:id="25"/>
    </w:p>
    <w:p w14:paraId="1A8CDF22" w14:textId="706DAD89" w:rsidR="00A76C5C" w:rsidRPr="00A76C5C" w:rsidRDefault="00A76C5C" w:rsidP="00A76C5C">
      <w:pPr>
        <w:spacing w:line="259" w:lineRule="auto"/>
        <w:contextualSpacing w:val="0"/>
        <w:rPr>
          <w:szCs w:val="22"/>
        </w:rPr>
      </w:pPr>
      <w:r w:rsidRPr="00A76C5C">
        <w:rPr>
          <w:szCs w:val="22"/>
        </w:rPr>
        <w:t xml:space="preserve">De bevindingen en aanbevelingen van de SIS (Studenten Informatie Systeem) en </w:t>
      </w:r>
      <w:r w:rsidR="00CA7074" w:rsidRPr="00A76C5C">
        <w:rPr>
          <w:szCs w:val="22"/>
        </w:rPr>
        <w:t>HR-applicaties</w:t>
      </w:r>
      <w:r w:rsidRPr="00A76C5C">
        <w:rPr>
          <w:szCs w:val="22"/>
        </w:rPr>
        <w:t xml:space="preserve"> geven aan de autorisatieprocedures niet op orde zijn. Deze aanbeveling sluit aan bij het 2</w:t>
      </w:r>
      <w:r w:rsidRPr="00A76C5C">
        <w:rPr>
          <w:szCs w:val="22"/>
          <w:vertAlign w:val="superscript"/>
        </w:rPr>
        <w:t>e</w:t>
      </w:r>
      <w:r w:rsidRPr="00A76C5C">
        <w:rPr>
          <w:szCs w:val="22"/>
        </w:rPr>
        <w:t xml:space="preserve"> beschreven risico binnen het Cyberdreigingsbeeld (2. Identiteitsfraude). </w:t>
      </w:r>
    </w:p>
    <w:p w14:paraId="2958E229" w14:textId="77777777" w:rsidR="00A76C5C" w:rsidRPr="00A76C5C" w:rsidRDefault="00A76C5C" w:rsidP="00A76C5C">
      <w:pPr>
        <w:spacing w:line="259" w:lineRule="auto"/>
        <w:contextualSpacing w:val="0"/>
        <w:rPr>
          <w:szCs w:val="22"/>
        </w:rPr>
      </w:pPr>
      <w:r w:rsidRPr="00A76C5C">
        <w:rPr>
          <w:szCs w:val="22"/>
        </w:rPr>
        <w:t>Een ander risico, ook aangeven door de Onderwijsinspectie, zijn de bewaartermijnen.</w:t>
      </w:r>
    </w:p>
    <w:p w14:paraId="51E90B52" w14:textId="77777777" w:rsidR="00A76C5C" w:rsidRPr="00A76C5C" w:rsidRDefault="00A76C5C" w:rsidP="00A76C5C">
      <w:pPr>
        <w:spacing w:line="259" w:lineRule="auto"/>
        <w:contextualSpacing w:val="0"/>
        <w:rPr>
          <w:szCs w:val="22"/>
        </w:rPr>
      </w:pPr>
    </w:p>
    <w:p w14:paraId="74642D1D" w14:textId="68E00137" w:rsidR="00A76C5C" w:rsidRDefault="00A76C5C" w:rsidP="00A76C5C">
      <w:pPr>
        <w:spacing w:line="259" w:lineRule="auto"/>
        <w:contextualSpacing w:val="0"/>
        <w:rPr>
          <w:szCs w:val="22"/>
        </w:rPr>
      </w:pPr>
      <w:r w:rsidRPr="00A76C5C">
        <w:rPr>
          <w:szCs w:val="22"/>
        </w:rPr>
        <w:t>Governance wordt meegenomen als 1</w:t>
      </w:r>
      <w:r w:rsidRPr="00A76C5C">
        <w:rPr>
          <w:szCs w:val="22"/>
          <w:vertAlign w:val="superscript"/>
        </w:rPr>
        <w:t>e</w:t>
      </w:r>
      <w:r w:rsidRPr="00A76C5C">
        <w:rPr>
          <w:szCs w:val="22"/>
        </w:rPr>
        <w:t xml:space="preserve"> risico, immers een sluitende en werkbare governance is de voorwaarde om de overige risico’s te mitigeren. Nogmaals governance is de basis voor de  mitigatie van de benoemde risico’s.</w:t>
      </w:r>
    </w:p>
    <w:p w14:paraId="749B7B8F" w14:textId="5A64C5F3" w:rsidR="00565B2C" w:rsidRDefault="00565B2C" w:rsidP="00A76C5C">
      <w:pPr>
        <w:spacing w:line="259" w:lineRule="auto"/>
        <w:contextualSpacing w:val="0"/>
        <w:rPr>
          <w:szCs w:val="22"/>
        </w:rPr>
      </w:pPr>
    </w:p>
    <w:p w14:paraId="6FA58320" w14:textId="6DD4858F" w:rsidR="00A76C5C" w:rsidRPr="00A76C5C" w:rsidRDefault="00A76C5C" w:rsidP="00851E38">
      <w:pPr>
        <w:pStyle w:val="Kop2"/>
        <w:rPr>
          <w:rFonts w:eastAsia="Times New Roman"/>
        </w:rPr>
      </w:pPr>
      <w:bookmarkStart w:id="26" w:name="_Toc119927034"/>
      <w:bookmarkStart w:id="27" w:name="_Toc144896482"/>
      <w:r w:rsidRPr="00A76C5C">
        <w:rPr>
          <w:rFonts w:eastAsia="Times New Roman"/>
        </w:rPr>
        <w:t>Te mitigeren risico’s vanaf 2023</w:t>
      </w:r>
      <w:bookmarkEnd w:id="26"/>
      <w:bookmarkEnd w:id="27"/>
    </w:p>
    <w:p w14:paraId="3BA44CE0" w14:textId="77777777" w:rsidR="00A76C5C" w:rsidRPr="00A76C5C" w:rsidRDefault="00A76C5C" w:rsidP="00A76C5C">
      <w:pPr>
        <w:spacing w:line="259" w:lineRule="auto"/>
        <w:contextualSpacing w:val="0"/>
        <w:rPr>
          <w:szCs w:val="22"/>
        </w:rPr>
      </w:pPr>
      <w:r w:rsidRPr="00A76C5C">
        <w:rPr>
          <w:szCs w:val="22"/>
        </w:rPr>
        <w:t>De volgende 5 risico’s zullen vanaf 2023 gemitigeerd worden:</w:t>
      </w:r>
    </w:p>
    <w:p w14:paraId="74AC6374" w14:textId="77777777" w:rsidR="00A76C5C" w:rsidRPr="00A76C5C" w:rsidRDefault="00A76C5C" w:rsidP="00A76C5C">
      <w:pPr>
        <w:spacing w:line="259" w:lineRule="auto"/>
        <w:contextualSpacing w:val="0"/>
        <w:rPr>
          <w:szCs w:val="22"/>
        </w:rPr>
      </w:pPr>
      <w:r w:rsidRPr="00A76C5C">
        <w:rPr>
          <w:szCs w:val="22"/>
        </w:rPr>
        <w:t>De aanpak om te komen tot een laag risico wordt hieronder globaal beschreven. De bijlagen beschrijven de details.</w:t>
      </w:r>
    </w:p>
    <w:p w14:paraId="14705BDB" w14:textId="77777777" w:rsidR="00A76C5C" w:rsidRPr="00A76C5C" w:rsidRDefault="00A76C5C" w:rsidP="00A76C5C">
      <w:pPr>
        <w:spacing w:line="259" w:lineRule="auto"/>
        <w:contextualSpacing w:val="0"/>
        <w:rPr>
          <w:szCs w:val="22"/>
        </w:rPr>
      </w:pPr>
    </w:p>
    <w:tbl>
      <w:tblPr>
        <w:tblW w:w="14034" w:type="dxa"/>
        <w:tblInd w:w="-5" w:type="dxa"/>
        <w:tblLayout w:type="fixed"/>
        <w:tblCellMar>
          <w:left w:w="70" w:type="dxa"/>
          <w:right w:w="70" w:type="dxa"/>
        </w:tblCellMar>
        <w:tblLook w:val="04A0" w:firstRow="1" w:lastRow="0" w:firstColumn="1" w:lastColumn="0" w:noHBand="0" w:noVBand="1"/>
      </w:tblPr>
      <w:tblGrid>
        <w:gridCol w:w="2806"/>
        <w:gridCol w:w="2807"/>
        <w:gridCol w:w="2807"/>
        <w:gridCol w:w="2807"/>
        <w:gridCol w:w="2807"/>
      </w:tblGrid>
      <w:tr w:rsidR="00CA7074" w:rsidRPr="00A76C5C" w14:paraId="15BF4EB6" w14:textId="77777777" w:rsidTr="00812476">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FFFFFF"/>
            <w:vAlign w:val="center"/>
          </w:tcPr>
          <w:p w14:paraId="5616C13B" w14:textId="77777777" w:rsidR="00CA7074" w:rsidRPr="00751390" w:rsidRDefault="00CA7074" w:rsidP="00CA7074">
            <w:pPr>
              <w:contextualSpacing w:val="0"/>
              <w:jc w:val="center"/>
              <w:rPr>
                <w:rFonts w:eastAsia="Times New Roman" w:cs="Calibri"/>
                <w:b/>
                <w:bCs/>
                <w:sz w:val="36"/>
                <w:szCs w:val="36"/>
                <w:lang w:eastAsia="nl-NL"/>
              </w:rPr>
            </w:pPr>
            <w:r w:rsidRPr="00751390">
              <w:rPr>
                <w:rFonts w:eastAsia="Times New Roman" w:cs="Calibri"/>
                <w:b/>
                <w:bCs/>
                <w:sz w:val="36"/>
                <w:szCs w:val="36"/>
                <w:lang w:eastAsia="nl-NL"/>
              </w:rPr>
              <w:t>R1</w:t>
            </w:r>
          </w:p>
          <w:p w14:paraId="22E3D61D" w14:textId="41FFCBA7"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sz w:val="28"/>
                <w:szCs w:val="28"/>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37032DF6"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R2</w:t>
            </w:r>
          </w:p>
          <w:p w14:paraId="3DFE4EB5" w14:textId="1006F84F"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Ransomware</w:t>
            </w:r>
          </w:p>
        </w:tc>
        <w:tc>
          <w:tcPr>
            <w:tcW w:w="2807"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5924745D"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R3</w:t>
            </w:r>
          </w:p>
          <w:p w14:paraId="05EBCB61" w14:textId="6691041A"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Ketenafhankelijkheid</w:t>
            </w:r>
          </w:p>
        </w:tc>
        <w:tc>
          <w:tcPr>
            <w:tcW w:w="2807"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01F256B4"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R4</w:t>
            </w:r>
          </w:p>
          <w:p w14:paraId="2C6CCA62" w14:textId="48F4DC8E"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Identiteitsfraude</w:t>
            </w:r>
          </w:p>
        </w:tc>
        <w:tc>
          <w:tcPr>
            <w:tcW w:w="2807"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3A9FF111"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R5</w:t>
            </w:r>
          </w:p>
          <w:p w14:paraId="6EC85059" w14:textId="24EFE395"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Bewaartermijnen</w:t>
            </w:r>
          </w:p>
        </w:tc>
      </w:tr>
      <w:tr w:rsidR="00A76C5C" w:rsidRPr="00A76C5C" w14:paraId="249FED6A"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73B50A4"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Strategie / Visie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9918A14"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F6B0DB1"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18F8EC69"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09238F6"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r>
      <w:tr w:rsidR="00A76C5C" w:rsidRPr="00A76C5C" w14:paraId="18CA0EC4"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663D041"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IBP Beleid</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E3911C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E6CA43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38E3A08D"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F931645"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r>
      <w:tr w:rsidR="00A76C5C" w:rsidRPr="00A76C5C" w14:paraId="5A701AA3"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AA5237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Architectuur MORA/HORA</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C4D35EF"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91AFF25"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BBB08CE"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14DA2E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r>
      <w:tr w:rsidR="00A76C5C" w:rsidRPr="00A76C5C" w14:paraId="013A025F"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9BAD66E"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Eigenaarschap</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FC0ED1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 xml:space="preserve">3 Registreren van incidenten van gebruikers en </w:t>
            </w:r>
            <w:proofErr w:type="spellStart"/>
            <w:r w:rsidRPr="00A76C5C">
              <w:rPr>
                <w:rFonts w:eastAsia="Times New Roman" w:cs="Calibri"/>
                <w:lang w:eastAsia="nl-NL"/>
              </w:rPr>
              <w:t>SURFcert</w:t>
            </w:r>
            <w:proofErr w:type="spellEnd"/>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17535402"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Inkoop als proceseigenaar benoemen</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2CA985B" w14:textId="77777777" w:rsidR="00A76C5C" w:rsidRPr="00A76C5C" w:rsidRDefault="00A76C5C" w:rsidP="00A76C5C">
            <w:pPr>
              <w:contextualSpacing w:val="0"/>
              <w:rPr>
                <w:rFonts w:eastAsia="Times New Roman" w:cs="Calibri"/>
                <w:lang w:val="en-US" w:eastAsia="nl-NL"/>
              </w:rPr>
            </w:pPr>
            <w:r w:rsidRPr="00A76C5C">
              <w:rPr>
                <w:rFonts w:eastAsia="Times New Roman" w:cs="Calibri"/>
                <w:lang w:val="en-US" w:eastAsia="nl-NL"/>
              </w:rPr>
              <w:t>3 Document voor Identity and Access Management (IAM)</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143CDC6"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Veilig opslaan data</w:t>
            </w:r>
          </w:p>
        </w:tc>
      </w:tr>
      <w:tr w:rsidR="00A76C5C" w:rsidRPr="00A76C5C" w14:paraId="58D8FA14"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9799708"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Risk Management</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38A3E14E" w14:textId="3DF033DE" w:rsidR="00A76C5C" w:rsidRPr="00A76C5C" w:rsidRDefault="00A76C5C" w:rsidP="00A76C5C">
            <w:pPr>
              <w:contextualSpacing w:val="0"/>
              <w:rPr>
                <w:rFonts w:eastAsia="Times New Roman" w:cs="Calibri"/>
                <w:lang w:eastAsia="nl-NL"/>
              </w:rPr>
            </w:pPr>
            <w:r w:rsidRPr="00A76C5C">
              <w:rPr>
                <w:rFonts w:eastAsia="Times New Roman" w:cs="Calibri"/>
                <w:lang w:eastAsia="nl-NL"/>
              </w:rPr>
              <w:t xml:space="preserve">4 </w:t>
            </w:r>
            <w:r w:rsidR="00CA7074" w:rsidRPr="00A76C5C">
              <w:rPr>
                <w:rFonts w:eastAsia="Times New Roman" w:cs="Calibri"/>
                <w:lang w:eastAsia="nl-NL"/>
              </w:rPr>
              <w:t>Implementeren</w:t>
            </w:r>
            <w:r w:rsidRPr="00A76C5C">
              <w:rPr>
                <w:rFonts w:eastAsia="Times New Roman" w:cs="Calibri"/>
                <w:lang w:eastAsia="nl-NL"/>
              </w:rPr>
              <w:t xml:space="preserve"> van technische weerbaarheid (MFA, SOC SIEM, etc.) </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20732B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Uitvoeren van (pen-) testen en audits door SURF op kernapplicaties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9302E5A"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Toepassen van IAM door leidinggevenden en beheerders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86F172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Classificatie van data</w:t>
            </w:r>
          </w:p>
        </w:tc>
      </w:tr>
      <w:tr w:rsidR="00A76C5C" w:rsidRPr="00A76C5C" w14:paraId="3A65190D"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6FEBE4A"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6 Roadmap</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5D6DB5F"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Implementeren en testen van Business Continuïteit (deelname OZON / NOZON)</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EAAB815" w14:textId="77777777" w:rsidR="00A76C5C" w:rsidRPr="00A76C5C" w:rsidRDefault="00A76C5C" w:rsidP="00A76C5C">
            <w:pPr>
              <w:contextualSpacing w:val="0"/>
              <w:rPr>
                <w:rFonts w:eastAsia="Times New Roman" w:cs="Calibri"/>
                <w:lang w:eastAsia="nl-NL"/>
              </w:rPr>
            </w:pP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664DF09" w14:textId="77777777" w:rsidR="00A76C5C" w:rsidRPr="00A76C5C" w:rsidRDefault="00A76C5C" w:rsidP="00A76C5C">
            <w:pPr>
              <w:contextualSpacing w:val="0"/>
              <w:rPr>
                <w:rFonts w:eastAsia="Times New Roman" w:cs="Calibri"/>
                <w:lang w:eastAsia="nl-NL"/>
              </w:rPr>
            </w:pP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6CD3B33"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Verwijderen van data op basis van afspraken binnen de mbo sector (DSP)</w:t>
            </w:r>
          </w:p>
        </w:tc>
      </w:tr>
    </w:tbl>
    <w:p w14:paraId="537ED593" w14:textId="77777777" w:rsidR="00A76C5C" w:rsidRPr="00A76C5C" w:rsidRDefault="00A76C5C" w:rsidP="00A76C5C">
      <w:pPr>
        <w:spacing w:after="160" w:line="259" w:lineRule="auto"/>
        <w:contextualSpacing w:val="0"/>
        <w:rPr>
          <w:szCs w:val="22"/>
        </w:rPr>
      </w:pPr>
    </w:p>
    <w:p w14:paraId="4EF50423" w14:textId="77777777" w:rsidR="001167D0" w:rsidRDefault="001167D0" w:rsidP="001167D0">
      <w:pPr>
        <w:spacing w:after="160" w:line="259" w:lineRule="auto"/>
        <w:contextualSpacing w:val="0"/>
        <w:rPr>
          <w:szCs w:val="22"/>
        </w:rPr>
      </w:pPr>
    </w:p>
    <w:p w14:paraId="000604D6" w14:textId="77777777" w:rsidR="001167D0" w:rsidRDefault="001167D0" w:rsidP="001167D0">
      <w:pPr>
        <w:spacing w:after="160" w:line="259" w:lineRule="auto"/>
        <w:contextualSpacing w:val="0"/>
        <w:rPr>
          <w:szCs w:val="22"/>
        </w:rPr>
      </w:pPr>
    </w:p>
    <w:p w14:paraId="1340B421" w14:textId="77777777" w:rsidR="001167D0" w:rsidRDefault="001167D0" w:rsidP="001167D0">
      <w:pPr>
        <w:spacing w:after="160" w:line="259" w:lineRule="auto"/>
        <w:contextualSpacing w:val="0"/>
        <w:rPr>
          <w:szCs w:val="22"/>
        </w:rPr>
      </w:pPr>
    </w:p>
    <w:p w14:paraId="3F9D6E04" w14:textId="77777777" w:rsidR="001167D0" w:rsidRDefault="001167D0" w:rsidP="001167D0">
      <w:pPr>
        <w:spacing w:after="160" w:line="259" w:lineRule="auto"/>
        <w:contextualSpacing w:val="0"/>
        <w:rPr>
          <w:szCs w:val="22"/>
        </w:rPr>
      </w:pPr>
    </w:p>
    <w:p w14:paraId="670AA003" w14:textId="3B704E5E" w:rsidR="001167D0" w:rsidRDefault="001167D0" w:rsidP="001167D0">
      <w:pPr>
        <w:pStyle w:val="Kop1"/>
        <w:numPr>
          <w:ilvl w:val="0"/>
          <w:numId w:val="0"/>
        </w:numPr>
        <w:ind w:left="624" w:hanging="624"/>
      </w:pPr>
      <w:bookmarkStart w:id="28" w:name="_Toc144896483"/>
      <w:r>
        <w:t>Bijlage 1: Risico’s plotten op NBA statements</w:t>
      </w:r>
      <w:bookmarkEnd w:id="28"/>
    </w:p>
    <w:p w14:paraId="3F68C86E" w14:textId="1DA9807D" w:rsidR="00A76C5C" w:rsidRPr="00A76C5C" w:rsidRDefault="00A76C5C" w:rsidP="001167D0">
      <w:pPr>
        <w:spacing w:after="160" w:line="259" w:lineRule="auto"/>
        <w:contextualSpacing w:val="0"/>
        <w:rPr>
          <w:szCs w:val="22"/>
        </w:rPr>
      </w:pPr>
      <w:r w:rsidRPr="00A76C5C">
        <w:rPr>
          <w:szCs w:val="22"/>
        </w:rPr>
        <w:t>Deze stap plot de NBA statements op de cyberdreigingsrisico’s. Bovendien wordt een volwasssenheidsniveau aangegeven. Voorbeeld statement 11.4, Logging, vermeldt SIEM op niveau 5, vandaar dat dit statement als mitigerende maatregel op volwassenheidsniveau 5 gerealiseerd moet worden.</w:t>
      </w:r>
    </w:p>
    <w:tbl>
      <w:tblPr>
        <w:tblW w:w="13740" w:type="dxa"/>
        <w:tblLayout w:type="fixed"/>
        <w:tblCellMar>
          <w:left w:w="70" w:type="dxa"/>
          <w:right w:w="70" w:type="dxa"/>
        </w:tblCellMar>
        <w:tblLook w:val="04A0" w:firstRow="1" w:lastRow="0" w:firstColumn="1" w:lastColumn="0" w:noHBand="0" w:noVBand="1"/>
      </w:tblPr>
      <w:tblGrid>
        <w:gridCol w:w="2258"/>
        <w:gridCol w:w="5077"/>
        <w:gridCol w:w="310"/>
        <w:gridCol w:w="1304"/>
        <w:gridCol w:w="1304"/>
        <w:gridCol w:w="1304"/>
        <w:gridCol w:w="1304"/>
        <w:gridCol w:w="879"/>
      </w:tblGrid>
      <w:tr w:rsidR="00A76C5C" w:rsidRPr="00A76C5C" w14:paraId="6891AE02" w14:textId="77777777" w:rsidTr="00A76C5C">
        <w:trPr>
          <w:trHeight w:val="340"/>
        </w:trPr>
        <w:tc>
          <w:tcPr>
            <w:tcW w:w="2258" w:type="dxa"/>
            <w:tcBorders>
              <w:top w:val="single" w:sz="8" w:space="0" w:color="000000"/>
              <w:left w:val="single" w:sz="8" w:space="0" w:color="000000"/>
              <w:bottom w:val="single" w:sz="4" w:space="0" w:color="000000"/>
              <w:right w:val="single" w:sz="4" w:space="0" w:color="000000"/>
            </w:tcBorders>
            <w:shd w:val="clear" w:color="auto" w:fill="D9D9D9"/>
            <w:noWrap/>
            <w:vAlign w:val="center"/>
            <w:hideMark/>
          </w:tcPr>
          <w:p w14:paraId="2D24CA39" w14:textId="77777777" w:rsidR="00A76C5C" w:rsidRPr="00A76C5C" w:rsidRDefault="00A76C5C" w:rsidP="00A76C5C">
            <w:pPr>
              <w:contextualSpacing w:val="0"/>
              <w:rPr>
                <w:rFonts w:eastAsia="Times New Roman" w:cs="Calibri"/>
                <w:b/>
                <w:bCs/>
                <w:color w:val="000000"/>
                <w:sz w:val="32"/>
                <w:szCs w:val="32"/>
                <w:lang w:eastAsia="nl-NL"/>
              </w:rPr>
            </w:pPr>
            <w:bookmarkStart w:id="29" w:name="_Hlk119064250"/>
            <w:bookmarkStart w:id="30" w:name="_Hlk119056584"/>
            <w:bookmarkStart w:id="31" w:name="_Hlk119156479"/>
            <w:r w:rsidRPr="00A76C5C">
              <w:rPr>
                <w:rFonts w:eastAsia="Times New Roman" w:cs="Calibri"/>
                <w:b/>
                <w:bCs/>
                <w:color w:val="000000"/>
                <w:sz w:val="32"/>
                <w:szCs w:val="32"/>
                <w:lang w:eastAsia="nl-NL"/>
              </w:rPr>
              <w:t>Thema’s</w:t>
            </w:r>
          </w:p>
        </w:tc>
        <w:tc>
          <w:tcPr>
            <w:tcW w:w="5077" w:type="dxa"/>
            <w:tcBorders>
              <w:top w:val="single" w:sz="8" w:space="0" w:color="000000"/>
              <w:left w:val="single" w:sz="4" w:space="0" w:color="000000"/>
              <w:bottom w:val="single" w:sz="8" w:space="0" w:color="000000"/>
              <w:right w:val="single" w:sz="4" w:space="0" w:color="000000"/>
            </w:tcBorders>
            <w:shd w:val="clear" w:color="auto" w:fill="D9D9D9"/>
            <w:noWrap/>
            <w:vAlign w:val="center"/>
            <w:hideMark/>
          </w:tcPr>
          <w:p w14:paraId="776EB649"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D53F69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1304"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49280A99"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202B6048"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1304"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3B1975AF"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5AC49802"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1304"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430871F9"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360930DA"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1304"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19A3FB68"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42F080F3"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9" w:type="dxa"/>
            <w:tcBorders>
              <w:top w:val="single" w:sz="8" w:space="0" w:color="000000"/>
              <w:left w:val="single" w:sz="4" w:space="0" w:color="000000"/>
              <w:bottom w:val="single" w:sz="4" w:space="0" w:color="000000"/>
              <w:right w:val="single" w:sz="8" w:space="0" w:color="000000"/>
            </w:tcBorders>
            <w:shd w:val="clear" w:color="auto" w:fill="auto"/>
            <w:noWrap/>
            <w:vAlign w:val="center"/>
            <w:hideMark/>
          </w:tcPr>
          <w:p w14:paraId="1F8FBEA6"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r>
      <w:bookmarkEnd w:id="29"/>
      <w:tr w:rsidR="00A76C5C" w:rsidRPr="00A76C5C" w14:paraId="7BEED3C4" w14:textId="77777777" w:rsidTr="00A76C5C">
        <w:trPr>
          <w:trHeight w:val="240"/>
        </w:trPr>
        <w:tc>
          <w:tcPr>
            <w:tcW w:w="2258" w:type="dxa"/>
            <w:tcBorders>
              <w:top w:val="single" w:sz="4" w:space="0" w:color="000000"/>
              <w:left w:val="single" w:sz="8" w:space="0" w:color="000000"/>
              <w:bottom w:val="single" w:sz="8" w:space="0" w:color="FFFFFF"/>
              <w:right w:val="single" w:sz="8" w:space="0" w:color="000000"/>
            </w:tcBorders>
            <w:shd w:val="clear" w:color="auto" w:fill="0070C0"/>
            <w:noWrap/>
            <w:vAlign w:val="center"/>
            <w:hideMark/>
          </w:tcPr>
          <w:p w14:paraId="37CD7C69"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G01 Strategie</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612AA162"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 Strategie</w:t>
            </w:r>
          </w:p>
        </w:tc>
        <w:tc>
          <w:tcPr>
            <w:tcW w:w="310" w:type="dxa"/>
            <w:tcBorders>
              <w:top w:val="single" w:sz="8" w:space="0" w:color="000000"/>
              <w:left w:val="single" w:sz="4" w:space="0" w:color="000000"/>
              <w:bottom w:val="single" w:sz="8" w:space="0" w:color="000000"/>
              <w:right w:val="single" w:sz="4" w:space="0" w:color="000000"/>
            </w:tcBorders>
            <w:vAlign w:val="center"/>
          </w:tcPr>
          <w:p w14:paraId="3B7E134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w:t>
            </w:r>
          </w:p>
        </w:tc>
        <w:tc>
          <w:tcPr>
            <w:tcW w:w="1304"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6EB5789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42E0C3E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43C8367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8" w:space="0" w:color="000000"/>
            </w:tcBorders>
            <w:shd w:val="clear" w:color="000000" w:fill="FFFF00"/>
            <w:noWrap/>
            <w:vAlign w:val="center"/>
            <w:hideMark/>
          </w:tcPr>
          <w:p w14:paraId="72DEE40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000000"/>
              <w:left w:val="single" w:sz="8" w:space="0" w:color="000000"/>
              <w:bottom w:val="single" w:sz="4" w:space="0" w:color="FFFFFF"/>
              <w:right w:val="single" w:sz="8" w:space="0" w:color="000000"/>
            </w:tcBorders>
            <w:shd w:val="clear" w:color="auto" w:fill="4472C4"/>
            <w:noWrap/>
            <w:vAlign w:val="center"/>
            <w:hideMark/>
          </w:tcPr>
          <w:p w14:paraId="6BDF989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090C455"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143EF57A"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G02 Beleid</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4E5BF2C1"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1.2 Beleid</w:t>
            </w:r>
          </w:p>
        </w:tc>
        <w:tc>
          <w:tcPr>
            <w:tcW w:w="310" w:type="dxa"/>
            <w:tcBorders>
              <w:top w:val="single" w:sz="8" w:space="0" w:color="000000"/>
              <w:left w:val="single" w:sz="4" w:space="0" w:color="000000"/>
              <w:bottom w:val="single" w:sz="8" w:space="0" w:color="000000"/>
              <w:right w:val="single" w:sz="4" w:space="0" w:color="000000"/>
            </w:tcBorders>
            <w:vAlign w:val="center"/>
          </w:tcPr>
          <w:p w14:paraId="387CC11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w:t>
            </w:r>
          </w:p>
        </w:tc>
        <w:tc>
          <w:tcPr>
            <w:tcW w:w="1304"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250937B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6DAA906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437309C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8" w:space="0" w:color="000000"/>
            </w:tcBorders>
            <w:shd w:val="clear" w:color="000000" w:fill="FFFF00"/>
            <w:noWrap/>
            <w:vAlign w:val="center"/>
            <w:hideMark/>
          </w:tcPr>
          <w:p w14:paraId="2F4BC87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0956C358"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FBCAB57"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2CC8E804"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G03 Architectuur</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3279B3F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 Architectuur</w:t>
            </w:r>
          </w:p>
        </w:tc>
        <w:tc>
          <w:tcPr>
            <w:tcW w:w="310" w:type="dxa"/>
            <w:tcBorders>
              <w:top w:val="single" w:sz="8" w:space="0" w:color="000000"/>
              <w:left w:val="single" w:sz="4" w:space="0" w:color="000000"/>
              <w:bottom w:val="single" w:sz="8" w:space="0" w:color="000000"/>
              <w:right w:val="single" w:sz="4" w:space="0" w:color="000000"/>
            </w:tcBorders>
            <w:vAlign w:val="center"/>
          </w:tcPr>
          <w:p w14:paraId="01F94A9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53AF707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0C7AC83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hideMark/>
          </w:tcPr>
          <w:p w14:paraId="5D5F08C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8" w:space="0" w:color="000000"/>
            </w:tcBorders>
            <w:shd w:val="clear" w:color="000000" w:fill="FFFF00"/>
            <w:noWrap/>
            <w:vAlign w:val="center"/>
            <w:hideMark/>
          </w:tcPr>
          <w:p w14:paraId="21E048E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3459AFD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C4A1B8B" w14:textId="77777777" w:rsidTr="00A76C5C">
        <w:trPr>
          <w:trHeight w:val="240"/>
        </w:trPr>
        <w:tc>
          <w:tcPr>
            <w:tcW w:w="2258" w:type="dxa"/>
            <w:vMerge w:val="restart"/>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340624B0" w14:textId="7D6D338A"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 xml:space="preserve">G04 </w:t>
            </w:r>
            <w:r w:rsidR="00E358A3">
              <w:rPr>
                <w:rFonts w:eastAsia="Times New Roman" w:cs="Calibri"/>
                <w:b/>
                <w:bCs/>
                <w:color w:val="FFFFFF"/>
                <w:sz w:val="16"/>
                <w:szCs w:val="16"/>
                <w:lang w:eastAsia="nl-NL"/>
              </w:rPr>
              <w:t>Eigenaarschap</w:t>
            </w:r>
          </w:p>
          <w:p w14:paraId="6ABA45FB"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 </w:t>
            </w:r>
          </w:p>
        </w:tc>
        <w:tc>
          <w:tcPr>
            <w:tcW w:w="507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071BAA6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2.1 Eigenaarschap, rollen, verantwoording en verantwoordelijkheid</w:t>
            </w:r>
          </w:p>
        </w:tc>
        <w:tc>
          <w:tcPr>
            <w:tcW w:w="310" w:type="dxa"/>
            <w:tcBorders>
              <w:top w:val="single" w:sz="8" w:space="0" w:color="000000"/>
              <w:left w:val="single" w:sz="4" w:space="0" w:color="000000"/>
              <w:bottom w:val="single" w:sz="4" w:space="0" w:color="auto"/>
              <w:right w:val="single" w:sz="4" w:space="0" w:color="000000"/>
            </w:tcBorders>
            <w:vAlign w:val="center"/>
          </w:tcPr>
          <w:p w14:paraId="4B65847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single" w:sz="4" w:space="0" w:color="000000"/>
              <w:bottom w:val="single" w:sz="4" w:space="0" w:color="auto"/>
              <w:right w:val="single" w:sz="4" w:space="0" w:color="auto"/>
            </w:tcBorders>
            <w:shd w:val="clear" w:color="000000" w:fill="FFFF00"/>
            <w:noWrap/>
            <w:vAlign w:val="center"/>
            <w:hideMark/>
          </w:tcPr>
          <w:p w14:paraId="1098A36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4" w:space="0" w:color="auto"/>
            </w:tcBorders>
            <w:shd w:val="clear" w:color="000000" w:fill="FFFF00"/>
            <w:noWrap/>
            <w:vAlign w:val="center"/>
            <w:hideMark/>
          </w:tcPr>
          <w:p w14:paraId="4AC160C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4" w:space="0" w:color="auto"/>
            </w:tcBorders>
            <w:shd w:val="clear" w:color="000000" w:fill="FFFF00"/>
            <w:noWrap/>
            <w:vAlign w:val="center"/>
            <w:hideMark/>
          </w:tcPr>
          <w:p w14:paraId="77AAEBF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8" w:space="0" w:color="000000"/>
            </w:tcBorders>
            <w:shd w:val="clear" w:color="000000" w:fill="FFFF00"/>
            <w:noWrap/>
            <w:vAlign w:val="center"/>
            <w:hideMark/>
          </w:tcPr>
          <w:p w14:paraId="732B409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5D5AB7CD"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28C9CE1" w14:textId="77777777" w:rsidTr="00A76C5C">
        <w:trPr>
          <w:trHeight w:val="25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420FAF2A"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6EBFA7E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2.2 Functiescheiding</w:t>
            </w:r>
          </w:p>
        </w:tc>
        <w:tc>
          <w:tcPr>
            <w:tcW w:w="310" w:type="dxa"/>
            <w:tcBorders>
              <w:top w:val="nil"/>
              <w:left w:val="single" w:sz="4" w:space="0" w:color="000000"/>
              <w:bottom w:val="single" w:sz="8" w:space="0" w:color="000000"/>
              <w:right w:val="single" w:sz="4" w:space="0" w:color="000000"/>
            </w:tcBorders>
            <w:vAlign w:val="center"/>
          </w:tcPr>
          <w:p w14:paraId="499984B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5</w:t>
            </w:r>
          </w:p>
        </w:tc>
        <w:tc>
          <w:tcPr>
            <w:tcW w:w="1304" w:type="dxa"/>
            <w:tcBorders>
              <w:top w:val="nil"/>
              <w:left w:val="single" w:sz="4" w:space="0" w:color="000000"/>
              <w:bottom w:val="single" w:sz="8" w:space="0" w:color="000000"/>
              <w:right w:val="single" w:sz="4" w:space="0" w:color="auto"/>
            </w:tcBorders>
            <w:shd w:val="clear" w:color="000000" w:fill="FFFF00"/>
            <w:noWrap/>
            <w:vAlign w:val="center"/>
            <w:hideMark/>
          </w:tcPr>
          <w:p w14:paraId="2184354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4" w:space="0" w:color="auto"/>
            </w:tcBorders>
            <w:shd w:val="clear" w:color="000000" w:fill="FFFF00"/>
            <w:noWrap/>
            <w:vAlign w:val="center"/>
            <w:hideMark/>
          </w:tcPr>
          <w:p w14:paraId="67FC700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4" w:space="0" w:color="auto"/>
            </w:tcBorders>
            <w:shd w:val="clear" w:color="000000" w:fill="FFFF00"/>
            <w:noWrap/>
            <w:vAlign w:val="center"/>
            <w:hideMark/>
          </w:tcPr>
          <w:p w14:paraId="5A62C62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8" w:space="0" w:color="000000"/>
            </w:tcBorders>
            <w:shd w:val="clear" w:color="000000" w:fill="FFFF00"/>
            <w:noWrap/>
            <w:vAlign w:val="center"/>
            <w:hideMark/>
          </w:tcPr>
          <w:p w14:paraId="1A59ECC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06DCE01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2DA22689" w14:textId="77777777" w:rsidTr="00A76C5C">
        <w:trPr>
          <w:trHeight w:val="240"/>
        </w:trPr>
        <w:tc>
          <w:tcPr>
            <w:tcW w:w="2258" w:type="dxa"/>
            <w:vMerge w:val="restart"/>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476B4020"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G05 Risk Management</w:t>
            </w:r>
          </w:p>
        </w:tc>
        <w:tc>
          <w:tcPr>
            <w:tcW w:w="507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7887E40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3.1 Informatie risicomanagementframework</w:t>
            </w:r>
          </w:p>
        </w:tc>
        <w:tc>
          <w:tcPr>
            <w:tcW w:w="310" w:type="dxa"/>
            <w:tcBorders>
              <w:top w:val="single" w:sz="8" w:space="0" w:color="000000"/>
              <w:left w:val="single" w:sz="4" w:space="0" w:color="000000"/>
              <w:bottom w:val="single" w:sz="4" w:space="0" w:color="auto"/>
              <w:right w:val="single" w:sz="4" w:space="0" w:color="000000"/>
            </w:tcBorders>
            <w:vAlign w:val="center"/>
          </w:tcPr>
          <w:p w14:paraId="10443A5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6</w:t>
            </w:r>
          </w:p>
        </w:tc>
        <w:tc>
          <w:tcPr>
            <w:tcW w:w="1304" w:type="dxa"/>
            <w:tcBorders>
              <w:top w:val="single" w:sz="8" w:space="0" w:color="000000"/>
              <w:left w:val="single" w:sz="4" w:space="0" w:color="000000"/>
              <w:bottom w:val="single" w:sz="4" w:space="0" w:color="auto"/>
              <w:right w:val="single" w:sz="4" w:space="0" w:color="auto"/>
            </w:tcBorders>
            <w:shd w:val="clear" w:color="000000" w:fill="FFFF00"/>
            <w:noWrap/>
            <w:vAlign w:val="center"/>
            <w:hideMark/>
          </w:tcPr>
          <w:p w14:paraId="247FB67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4" w:space="0" w:color="auto"/>
            </w:tcBorders>
            <w:shd w:val="clear" w:color="000000" w:fill="FFFF00"/>
            <w:noWrap/>
            <w:vAlign w:val="center"/>
            <w:hideMark/>
          </w:tcPr>
          <w:p w14:paraId="52879AF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4" w:space="0" w:color="auto"/>
            </w:tcBorders>
            <w:shd w:val="clear" w:color="000000" w:fill="FFFF00"/>
            <w:noWrap/>
            <w:vAlign w:val="center"/>
            <w:hideMark/>
          </w:tcPr>
          <w:p w14:paraId="374FF3B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single" w:sz="8" w:space="0" w:color="000000"/>
              <w:left w:val="nil"/>
              <w:bottom w:val="single" w:sz="4" w:space="0" w:color="auto"/>
              <w:right w:val="single" w:sz="8" w:space="0" w:color="000000"/>
            </w:tcBorders>
            <w:shd w:val="clear" w:color="000000" w:fill="FFFF00"/>
            <w:noWrap/>
            <w:vAlign w:val="center"/>
            <w:hideMark/>
          </w:tcPr>
          <w:p w14:paraId="1146212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4A72B54D"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5D52D2B" w14:textId="77777777" w:rsidTr="00A76C5C">
        <w:trPr>
          <w:trHeight w:val="24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40AD2E43"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ED487A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3.2 Risicobeoordeling</w:t>
            </w:r>
          </w:p>
        </w:tc>
        <w:tc>
          <w:tcPr>
            <w:tcW w:w="310" w:type="dxa"/>
            <w:tcBorders>
              <w:top w:val="nil"/>
              <w:left w:val="single" w:sz="4" w:space="0" w:color="000000"/>
              <w:bottom w:val="single" w:sz="4" w:space="0" w:color="auto"/>
              <w:right w:val="single" w:sz="4" w:space="0" w:color="000000"/>
            </w:tcBorders>
            <w:vAlign w:val="center"/>
          </w:tcPr>
          <w:p w14:paraId="4A65A85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7</w:t>
            </w:r>
          </w:p>
        </w:tc>
        <w:tc>
          <w:tcPr>
            <w:tcW w:w="1304" w:type="dxa"/>
            <w:tcBorders>
              <w:top w:val="nil"/>
              <w:left w:val="single" w:sz="4" w:space="0" w:color="000000"/>
              <w:bottom w:val="single" w:sz="4" w:space="0" w:color="auto"/>
              <w:right w:val="single" w:sz="4" w:space="0" w:color="auto"/>
            </w:tcBorders>
            <w:shd w:val="clear" w:color="000000" w:fill="FFFF00"/>
            <w:noWrap/>
            <w:vAlign w:val="center"/>
            <w:hideMark/>
          </w:tcPr>
          <w:p w14:paraId="38F765F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4" w:space="0" w:color="auto"/>
              <w:right w:val="single" w:sz="4" w:space="0" w:color="auto"/>
            </w:tcBorders>
            <w:shd w:val="clear" w:color="000000" w:fill="FFFF00"/>
            <w:noWrap/>
            <w:vAlign w:val="center"/>
            <w:hideMark/>
          </w:tcPr>
          <w:p w14:paraId="0610CC6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4" w:space="0" w:color="auto"/>
              <w:right w:val="single" w:sz="4" w:space="0" w:color="auto"/>
            </w:tcBorders>
            <w:shd w:val="clear" w:color="000000" w:fill="FFFF00"/>
            <w:noWrap/>
            <w:vAlign w:val="center"/>
            <w:hideMark/>
          </w:tcPr>
          <w:p w14:paraId="4D7EE41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4" w:space="0" w:color="auto"/>
              <w:right w:val="single" w:sz="8" w:space="0" w:color="000000"/>
            </w:tcBorders>
            <w:shd w:val="clear" w:color="000000" w:fill="FFFF00"/>
            <w:noWrap/>
            <w:vAlign w:val="center"/>
            <w:hideMark/>
          </w:tcPr>
          <w:p w14:paraId="1801EBB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1CBC1097"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87ACA48" w14:textId="77777777" w:rsidTr="00A76C5C">
        <w:trPr>
          <w:trHeight w:val="25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0E32D34B"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4EE0A3B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3.3 Plan voor behandeling en beperking van risico's (incl. risicoacceptatie)</w:t>
            </w:r>
          </w:p>
        </w:tc>
        <w:tc>
          <w:tcPr>
            <w:tcW w:w="310" w:type="dxa"/>
            <w:tcBorders>
              <w:top w:val="nil"/>
              <w:left w:val="single" w:sz="4" w:space="0" w:color="000000"/>
              <w:bottom w:val="single" w:sz="8" w:space="0" w:color="000000"/>
              <w:right w:val="single" w:sz="4" w:space="0" w:color="000000"/>
            </w:tcBorders>
            <w:vAlign w:val="center"/>
          </w:tcPr>
          <w:p w14:paraId="1AF5513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8</w:t>
            </w:r>
          </w:p>
        </w:tc>
        <w:tc>
          <w:tcPr>
            <w:tcW w:w="1304" w:type="dxa"/>
            <w:tcBorders>
              <w:top w:val="nil"/>
              <w:left w:val="single" w:sz="4" w:space="0" w:color="000000"/>
              <w:bottom w:val="single" w:sz="8" w:space="0" w:color="000000"/>
              <w:right w:val="single" w:sz="4" w:space="0" w:color="auto"/>
            </w:tcBorders>
            <w:shd w:val="clear" w:color="000000" w:fill="FFFF00"/>
            <w:noWrap/>
            <w:vAlign w:val="center"/>
            <w:hideMark/>
          </w:tcPr>
          <w:p w14:paraId="503870A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4" w:space="0" w:color="auto"/>
            </w:tcBorders>
            <w:shd w:val="clear" w:color="000000" w:fill="FFFF00"/>
            <w:noWrap/>
            <w:vAlign w:val="center"/>
            <w:hideMark/>
          </w:tcPr>
          <w:p w14:paraId="2045DAA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4" w:space="0" w:color="auto"/>
            </w:tcBorders>
            <w:shd w:val="clear" w:color="000000" w:fill="FFFF00"/>
            <w:noWrap/>
            <w:vAlign w:val="center"/>
            <w:hideMark/>
          </w:tcPr>
          <w:p w14:paraId="32E236C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4" w:type="dxa"/>
            <w:tcBorders>
              <w:top w:val="nil"/>
              <w:left w:val="nil"/>
              <w:bottom w:val="single" w:sz="8" w:space="0" w:color="000000"/>
              <w:right w:val="single" w:sz="8" w:space="0" w:color="000000"/>
            </w:tcBorders>
            <w:shd w:val="clear" w:color="000000" w:fill="FFFF00"/>
            <w:noWrap/>
            <w:vAlign w:val="center"/>
            <w:hideMark/>
          </w:tcPr>
          <w:p w14:paraId="2B5C184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hideMark/>
          </w:tcPr>
          <w:p w14:paraId="071D4207"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D2BB72F"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tcPr>
          <w:p w14:paraId="69AEE76C"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G06 Roadmap</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tcPr>
          <w:p w14:paraId="75F10E12"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 Planning / Roadmap</w:t>
            </w:r>
          </w:p>
        </w:tc>
        <w:tc>
          <w:tcPr>
            <w:tcW w:w="310" w:type="dxa"/>
            <w:tcBorders>
              <w:top w:val="single" w:sz="8" w:space="0" w:color="000000"/>
              <w:left w:val="single" w:sz="4" w:space="0" w:color="000000"/>
              <w:bottom w:val="single" w:sz="8" w:space="0" w:color="000000"/>
              <w:right w:val="single" w:sz="4" w:space="0" w:color="000000"/>
            </w:tcBorders>
            <w:vAlign w:val="center"/>
          </w:tcPr>
          <w:p w14:paraId="3BB5C1B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9</w:t>
            </w:r>
          </w:p>
        </w:tc>
        <w:tc>
          <w:tcPr>
            <w:tcW w:w="1304" w:type="dxa"/>
            <w:tcBorders>
              <w:top w:val="single" w:sz="8" w:space="0" w:color="000000"/>
              <w:left w:val="single" w:sz="4" w:space="0" w:color="000000"/>
              <w:bottom w:val="single" w:sz="8" w:space="0" w:color="000000"/>
              <w:right w:val="single" w:sz="4" w:space="0" w:color="auto"/>
            </w:tcBorders>
            <w:shd w:val="clear" w:color="000000" w:fill="FFFF00"/>
            <w:noWrap/>
            <w:vAlign w:val="center"/>
          </w:tcPr>
          <w:p w14:paraId="46D4BEE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tcPr>
          <w:p w14:paraId="6AAD6E3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tcPr>
          <w:p w14:paraId="1A698E2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8" w:space="0" w:color="000000"/>
            </w:tcBorders>
            <w:shd w:val="clear" w:color="000000" w:fill="FFFF00"/>
            <w:noWrap/>
            <w:vAlign w:val="center"/>
          </w:tcPr>
          <w:p w14:paraId="5E7EDF5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8" w:space="0" w:color="000000"/>
            </w:tcBorders>
            <w:shd w:val="clear" w:color="auto" w:fill="4472C4"/>
            <w:noWrap/>
            <w:vAlign w:val="center"/>
          </w:tcPr>
          <w:p w14:paraId="444A9B1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BF4349E"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tcPr>
          <w:p w14:paraId="111F8861"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G07 Assurance</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tcPr>
          <w:p w14:paraId="01BF9FE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 Onafhankelijke toetsing</w:t>
            </w:r>
          </w:p>
        </w:tc>
        <w:tc>
          <w:tcPr>
            <w:tcW w:w="310" w:type="dxa"/>
            <w:tcBorders>
              <w:top w:val="single" w:sz="8" w:space="0" w:color="000000"/>
              <w:left w:val="single" w:sz="4" w:space="0" w:color="000000"/>
              <w:bottom w:val="single" w:sz="8" w:space="0" w:color="000000"/>
              <w:right w:val="single" w:sz="4" w:space="0" w:color="000000"/>
            </w:tcBorders>
            <w:vAlign w:val="center"/>
          </w:tcPr>
          <w:p w14:paraId="2F66DA6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10</w:t>
            </w:r>
          </w:p>
        </w:tc>
        <w:tc>
          <w:tcPr>
            <w:tcW w:w="1304" w:type="dxa"/>
            <w:tcBorders>
              <w:top w:val="single" w:sz="8" w:space="0" w:color="000000"/>
              <w:left w:val="single" w:sz="4" w:space="0" w:color="000000"/>
              <w:bottom w:val="single" w:sz="8" w:space="0" w:color="000000"/>
              <w:right w:val="single" w:sz="4" w:space="0" w:color="auto"/>
            </w:tcBorders>
            <w:shd w:val="clear" w:color="000000" w:fill="FFFF00"/>
            <w:noWrap/>
            <w:vAlign w:val="center"/>
          </w:tcPr>
          <w:p w14:paraId="17D6828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tcPr>
          <w:p w14:paraId="1B5B753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4" w:space="0" w:color="auto"/>
            </w:tcBorders>
            <w:shd w:val="clear" w:color="000000" w:fill="FFFF00"/>
            <w:noWrap/>
            <w:vAlign w:val="center"/>
          </w:tcPr>
          <w:p w14:paraId="1EAC09C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8" w:space="0" w:color="000000"/>
              <w:left w:val="nil"/>
              <w:bottom w:val="single" w:sz="8" w:space="0" w:color="000000"/>
              <w:right w:val="single" w:sz="8" w:space="0" w:color="000000"/>
            </w:tcBorders>
            <w:shd w:val="clear" w:color="000000" w:fill="FFFF00"/>
            <w:noWrap/>
            <w:vAlign w:val="center"/>
          </w:tcPr>
          <w:p w14:paraId="490018D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auto"/>
              <w:right w:val="single" w:sz="8" w:space="0" w:color="000000"/>
            </w:tcBorders>
            <w:shd w:val="clear" w:color="auto" w:fill="4472C4"/>
            <w:noWrap/>
            <w:vAlign w:val="center"/>
          </w:tcPr>
          <w:p w14:paraId="23C5F27C"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AC64744" w14:textId="77777777" w:rsidTr="00A76C5C">
        <w:trPr>
          <w:trHeight w:val="240"/>
        </w:trPr>
        <w:tc>
          <w:tcPr>
            <w:tcW w:w="2258" w:type="dxa"/>
            <w:vMerge w:val="restart"/>
            <w:tcBorders>
              <w:top w:val="single" w:sz="4" w:space="0" w:color="auto"/>
              <w:left w:val="single" w:sz="8" w:space="0" w:color="000000"/>
              <w:right w:val="single" w:sz="8" w:space="0" w:color="000000"/>
            </w:tcBorders>
            <w:shd w:val="clear" w:color="auto" w:fill="00B050"/>
            <w:noWrap/>
            <w:vAlign w:val="center"/>
          </w:tcPr>
          <w:p w14:paraId="62938CBB"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P08 Human Resources</w:t>
            </w:r>
          </w:p>
        </w:tc>
        <w:tc>
          <w:tcPr>
            <w:tcW w:w="5077" w:type="dxa"/>
            <w:tcBorders>
              <w:top w:val="single" w:sz="8" w:space="0" w:color="000000"/>
              <w:left w:val="single" w:sz="8" w:space="0" w:color="000000"/>
              <w:bottom w:val="single" w:sz="4" w:space="0" w:color="auto"/>
              <w:right w:val="single" w:sz="4" w:space="0" w:color="auto"/>
            </w:tcBorders>
            <w:shd w:val="clear" w:color="auto" w:fill="auto"/>
            <w:noWrap/>
            <w:vAlign w:val="bottom"/>
          </w:tcPr>
          <w:p w14:paraId="518ABB2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4.1 Werving</w:t>
            </w:r>
          </w:p>
        </w:tc>
        <w:tc>
          <w:tcPr>
            <w:tcW w:w="310" w:type="dxa"/>
            <w:tcBorders>
              <w:top w:val="single" w:sz="8" w:space="0" w:color="000000"/>
              <w:left w:val="nil"/>
              <w:bottom w:val="single" w:sz="4" w:space="0" w:color="auto"/>
              <w:right w:val="single" w:sz="4" w:space="0" w:color="000000"/>
            </w:tcBorders>
            <w:vAlign w:val="center"/>
          </w:tcPr>
          <w:p w14:paraId="523B6DA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11</w:t>
            </w:r>
          </w:p>
        </w:tc>
        <w:tc>
          <w:tcPr>
            <w:tcW w:w="1304" w:type="dxa"/>
            <w:tcBorders>
              <w:top w:val="single" w:sz="8" w:space="0" w:color="000000"/>
              <w:left w:val="single" w:sz="4" w:space="0" w:color="000000"/>
              <w:bottom w:val="single" w:sz="4" w:space="0" w:color="auto"/>
              <w:right w:val="single" w:sz="4" w:space="0" w:color="auto"/>
            </w:tcBorders>
            <w:shd w:val="clear" w:color="auto" w:fill="auto"/>
            <w:noWrap/>
            <w:vAlign w:val="center"/>
          </w:tcPr>
          <w:p w14:paraId="4CE9DA36"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8" w:space="0" w:color="000000"/>
              <w:left w:val="nil"/>
              <w:bottom w:val="single" w:sz="4" w:space="0" w:color="auto"/>
              <w:right w:val="single" w:sz="4" w:space="0" w:color="auto"/>
            </w:tcBorders>
            <w:shd w:val="clear" w:color="auto" w:fill="auto"/>
            <w:noWrap/>
            <w:vAlign w:val="center"/>
          </w:tcPr>
          <w:p w14:paraId="426514D8"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8" w:space="0" w:color="000000"/>
              <w:left w:val="nil"/>
              <w:bottom w:val="single" w:sz="4" w:space="0" w:color="auto"/>
              <w:right w:val="single" w:sz="4" w:space="0" w:color="auto"/>
            </w:tcBorders>
            <w:shd w:val="clear" w:color="auto" w:fill="auto"/>
            <w:noWrap/>
            <w:vAlign w:val="center"/>
          </w:tcPr>
          <w:p w14:paraId="3ADD8A65"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8" w:space="0" w:color="000000"/>
              <w:left w:val="nil"/>
              <w:bottom w:val="single" w:sz="4" w:space="0" w:color="auto"/>
              <w:right w:val="single" w:sz="8" w:space="0" w:color="000000"/>
            </w:tcBorders>
            <w:shd w:val="clear" w:color="auto" w:fill="auto"/>
            <w:noWrap/>
            <w:vAlign w:val="center"/>
          </w:tcPr>
          <w:p w14:paraId="60131C0E"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auto"/>
              <w:left w:val="single" w:sz="8" w:space="0" w:color="000000"/>
              <w:bottom w:val="single" w:sz="4" w:space="0" w:color="auto"/>
              <w:right w:val="single" w:sz="8" w:space="0" w:color="000000"/>
            </w:tcBorders>
            <w:shd w:val="clear" w:color="auto" w:fill="auto"/>
            <w:noWrap/>
            <w:vAlign w:val="bottom"/>
          </w:tcPr>
          <w:p w14:paraId="58283D58"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2A115D4" w14:textId="77777777" w:rsidTr="00A76C5C">
        <w:trPr>
          <w:trHeight w:val="240"/>
        </w:trPr>
        <w:tc>
          <w:tcPr>
            <w:tcW w:w="2258" w:type="dxa"/>
            <w:vMerge/>
            <w:tcBorders>
              <w:left w:val="single" w:sz="8" w:space="0" w:color="000000"/>
              <w:right w:val="single" w:sz="8" w:space="0" w:color="000000"/>
            </w:tcBorders>
            <w:shd w:val="clear" w:color="auto" w:fill="00B050"/>
            <w:noWrap/>
            <w:vAlign w:val="bottom"/>
          </w:tcPr>
          <w:p w14:paraId="43A8BD91" w14:textId="77777777" w:rsidR="00A76C5C" w:rsidRPr="00A76C5C" w:rsidRDefault="00A76C5C" w:rsidP="00A76C5C">
            <w:pPr>
              <w:ind w:left="62"/>
              <w:contextualSpacing w:val="0"/>
              <w:rPr>
                <w:rFonts w:eastAsia="Times New Roman" w:cs="Calibri"/>
                <w:b/>
                <w:bCs/>
                <w:color w:val="FFFFFF"/>
                <w:sz w:val="16"/>
                <w:szCs w:val="16"/>
                <w:lang w:eastAsia="nl-NL"/>
              </w:rPr>
            </w:pPr>
          </w:p>
        </w:tc>
        <w:tc>
          <w:tcPr>
            <w:tcW w:w="5077" w:type="dxa"/>
            <w:tcBorders>
              <w:top w:val="single" w:sz="4" w:space="0" w:color="auto"/>
              <w:left w:val="single" w:sz="8" w:space="0" w:color="000000"/>
              <w:bottom w:val="single" w:sz="4" w:space="0" w:color="auto"/>
              <w:right w:val="single" w:sz="4" w:space="0" w:color="auto"/>
            </w:tcBorders>
            <w:shd w:val="clear" w:color="auto" w:fill="auto"/>
            <w:noWrap/>
            <w:vAlign w:val="bottom"/>
          </w:tcPr>
          <w:p w14:paraId="3B7D308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4.2 Certificering, training en scholing</w:t>
            </w:r>
          </w:p>
        </w:tc>
        <w:tc>
          <w:tcPr>
            <w:tcW w:w="310" w:type="dxa"/>
            <w:tcBorders>
              <w:top w:val="single" w:sz="4" w:space="0" w:color="auto"/>
              <w:left w:val="nil"/>
              <w:bottom w:val="single" w:sz="4" w:space="0" w:color="auto"/>
              <w:right w:val="single" w:sz="4" w:space="0" w:color="000000"/>
            </w:tcBorders>
            <w:vAlign w:val="center"/>
          </w:tcPr>
          <w:p w14:paraId="4CBC78F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12</w:t>
            </w:r>
          </w:p>
        </w:tc>
        <w:tc>
          <w:tcPr>
            <w:tcW w:w="130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57ABE6D"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00E85C1B"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6D2218B3"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8" w:space="0" w:color="000000"/>
            </w:tcBorders>
            <w:shd w:val="clear" w:color="auto" w:fill="auto"/>
            <w:noWrap/>
            <w:vAlign w:val="center"/>
          </w:tcPr>
          <w:p w14:paraId="501A8144"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auto"/>
              <w:left w:val="single" w:sz="8" w:space="0" w:color="000000"/>
              <w:bottom w:val="single" w:sz="4" w:space="0" w:color="auto"/>
              <w:right w:val="single" w:sz="8" w:space="0" w:color="000000"/>
            </w:tcBorders>
            <w:shd w:val="clear" w:color="auto" w:fill="auto"/>
            <w:noWrap/>
            <w:vAlign w:val="bottom"/>
            <w:hideMark/>
          </w:tcPr>
          <w:p w14:paraId="23DDE4D9"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E4302D4" w14:textId="77777777" w:rsidTr="00A76C5C">
        <w:trPr>
          <w:trHeight w:val="250"/>
        </w:trPr>
        <w:tc>
          <w:tcPr>
            <w:tcW w:w="2258" w:type="dxa"/>
            <w:vMerge/>
            <w:tcBorders>
              <w:left w:val="single" w:sz="8" w:space="0" w:color="000000"/>
              <w:right w:val="single" w:sz="8" w:space="0" w:color="000000"/>
            </w:tcBorders>
            <w:shd w:val="clear" w:color="auto" w:fill="00B050"/>
            <w:noWrap/>
            <w:vAlign w:val="bottom"/>
          </w:tcPr>
          <w:p w14:paraId="48CF13F2" w14:textId="77777777" w:rsidR="00A76C5C" w:rsidRPr="00A76C5C" w:rsidRDefault="00A76C5C" w:rsidP="00A76C5C">
            <w:pPr>
              <w:ind w:left="62"/>
              <w:contextualSpacing w:val="0"/>
              <w:rPr>
                <w:rFonts w:eastAsia="Times New Roman" w:cs="Calibri"/>
                <w:b/>
                <w:bCs/>
                <w:color w:val="FFFFFF"/>
                <w:sz w:val="16"/>
                <w:szCs w:val="16"/>
                <w:lang w:eastAsia="nl-NL"/>
              </w:rPr>
            </w:pPr>
          </w:p>
        </w:tc>
        <w:tc>
          <w:tcPr>
            <w:tcW w:w="5077" w:type="dxa"/>
            <w:tcBorders>
              <w:top w:val="single" w:sz="4" w:space="0" w:color="auto"/>
              <w:left w:val="single" w:sz="8" w:space="0" w:color="000000"/>
              <w:bottom w:val="single" w:sz="4" w:space="0" w:color="auto"/>
              <w:right w:val="single" w:sz="4" w:space="0" w:color="auto"/>
            </w:tcBorders>
            <w:shd w:val="clear" w:color="auto" w:fill="auto"/>
            <w:noWrap/>
            <w:vAlign w:val="bottom"/>
          </w:tcPr>
          <w:p w14:paraId="4B3D120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4.3 Afhankelijkheid van individuen</w:t>
            </w:r>
          </w:p>
        </w:tc>
        <w:tc>
          <w:tcPr>
            <w:tcW w:w="310" w:type="dxa"/>
            <w:tcBorders>
              <w:top w:val="single" w:sz="4" w:space="0" w:color="auto"/>
              <w:left w:val="nil"/>
              <w:bottom w:val="single" w:sz="4" w:space="0" w:color="auto"/>
              <w:right w:val="single" w:sz="4" w:space="0" w:color="000000"/>
            </w:tcBorders>
            <w:vAlign w:val="center"/>
          </w:tcPr>
          <w:p w14:paraId="00E8FAE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13</w:t>
            </w:r>
          </w:p>
        </w:tc>
        <w:tc>
          <w:tcPr>
            <w:tcW w:w="130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04EDFC0F"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8EB8F43"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FE3CB13"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8" w:space="0" w:color="000000"/>
            </w:tcBorders>
            <w:shd w:val="clear" w:color="auto" w:fill="auto"/>
            <w:noWrap/>
            <w:vAlign w:val="center"/>
          </w:tcPr>
          <w:p w14:paraId="20F2684D"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auto"/>
              <w:left w:val="single" w:sz="8" w:space="0" w:color="000000"/>
              <w:bottom w:val="single" w:sz="4" w:space="0" w:color="auto"/>
              <w:right w:val="single" w:sz="8" w:space="0" w:color="000000"/>
            </w:tcBorders>
            <w:shd w:val="clear" w:color="auto" w:fill="auto"/>
            <w:noWrap/>
            <w:vAlign w:val="bottom"/>
            <w:hideMark/>
          </w:tcPr>
          <w:p w14:paraId="0E9827F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401D11D6" w14:textId="77777777" w:rsidTr="00A76C5C">
        <w:trPr>
          <w:trHeight w:val="250"/>
        </w:trPr>
        <w:tc>
          <w:tcPr>
            <w:tcW w:w="2258" w:type="dxa"/>
            <w:vMerge/>
            <w:tcBorders>
              <w:left w:val="single" w:sz="8" w:space="0" w:color="000000"/>
              <w:right w:val="single" w:sz="8" w:space="0" w:color="000000"/>
            </w:tcBorders>
            <w:shd w:val="clear" w:color="auto" w:fill="00B050"/>
            <w:noWrap/>
            <w:vAlign w:val="bottom"/>
          </w:tcPr>
          <w:p w14:paraId="6BD06AC3" w14:textId="77777777" w:rsidR="00A76C5C" w:rsidRPr="00A76C5C" w:rsidRDefault="00A76C5C" w:rsidP="00A76C5C">
            <w:pPr>
              <w:ind w:left="62"/>
              <w:contextualSpacing w:val="0"/>
              <w:rPr>
                <w:rFonts w:eastAsia="Times New Roman" w:cs="Calibri"/>
                <w:b/>
                <w:bCs/>
                <w:color w:val="FFFFFF"/>
                <w:sz w:val="16"/>
                <w:szCs w:val="16"/>
                <w:lang w:eastAsia="nl-NL"/>
              </w:rPr>
            </w:pPr>
          </w:p>
        </w:tc>
        <w:tc>
          <w:tcPr>
            <w:tcW w:w="5077" w:type="dxa"/>
            <w:tcBorders>
              <w:top w:val="single" w:sz="4" w:space="0" w:color="auto"/>
              <w:left w:val="single" w:sz="8" w:space="0" w:color="000000"/>
              <w:bottom w:val="single" w:sz="4" w:space="0" w:color="auto"/>
              <w:right w:val="single" w:sz="4" w:space="0" w:color="auto"/>
            </w:tcBorders>
            <w:shd w:val="clear" w:color="auto" w:fill="auto"/>
            <w:noWrap/>
            <w:vAlign w:val="bottom"/>
          </w:tcPr>
          <w:p w14:paraId="359C9C7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4.4 Verandering of beëindiging van functie</w:t>
            </w:r>
          </w:p>
        </w:tc>
        <w:tc>
          <w:tcPr>
            <w:tcW w:w="310" w:type="dxa"/>
            <w:tcBorders>
              <w:top w:val="single" w:sz="4" w:space="0" w:color="auto"/>
              <w:left w:val="nil"/>
              <w:bottom w:val="single" w:sz="4" w:space="0" w:color="auto"/>
              <w:right w:val="single" w:sz="4" w:space="0" w:color="000000"/>
            </w:tcBorders>
            <w:vAlign w:val="center"/>
          </w:tcPr>
          <w:p w14:paraId="542B9B8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14</w:t>
            </w:r>
          </w:p>
        </w:tc>
        <w:tc>
          <w:tcPr>
            <w:tcW w:w="130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7F9A3FE"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2F1511FA"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565F8154"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8" w:space="0" w:color="000000"/>
            </w:tcBorders>
            <w:shd w:val="clear" w:color="auto" w:fill="auto"/>
            <w:noWrap/>
            <w:vAlign w:val="center"/>
          </w:tcPr>
          <w:p w14:paraId="28F167BB"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auto"/>
              <w:left w:val="single" w:sz="8" w:space="0" w:color="000000"/>
              <w:bottom w:val="single" w:sz="4" w:space="0" w:color="auto"/>
              <w:right w:val="single" w:sz="8" w:space="0" w:color="000000"/>
            </w:tcBorders>
            <w:shd w:val="clear" w:color="auto" w:fill="auto"/>
            <w:noWrap/>
            <w:vAlign w:val="bottom"/>
          </w:tcPr>
          <w:p w14:paraId="50254035"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A30E22E" w14:textId="77777777" w:rsidTr="00A76C5C">
        <w:trPr>
          <w:trHeight w:val="250"/>
        </w:trPr>
        <w:tc>
          <w:tcPr>
            <w:tcW w:w="2258" w:type="dxa"/>
            <w:vMerge/>
            <w:tcBorders>
              <w:left w:val="single" w:sz="8" w:space="0" w:color="000000"/>
              <w:right w:val="single" w:sz="8" w:space="0" w:color="000000"/>
            </w:tcBorders>
            <w:shd w:val="clear" w:color="auto" w:fill="00B050"/>
            <w:noWrap/>
            <w:vAlign w:val="bottom"/>
          </w:tcPr>
          <w:p w14:paraId="36421DC1" w14:textId="77777777" w:rsidR="00A76C5C" w:rsidRPr="00A76C5C" w:rsidRDefault="00A76C5C" w:rsidP="00A76C5C">
            <w:pPr>
              <w:ind w:left="62"/>
              <w:contextualSpacing w:val="0"/>
              <w:rPr>
                <w:rFonts w:eastAsia="Times New Roman" w:cs="Calibri"/>
                <w:b/>
                <w:bCs/>
                <w:color w:val="FFFFFF"/>
                <w:sz w:val="16"/>
                <w:szCs w:val="16"/>
                <w:lang w:eastAsia="nl-NL"/>
              </w:rPr>
            </w:pPr>
          </w:p>
        </w:tc>
        <w:tc>
          <w:tcPr>
            <w:tcW w:w="5077" w:type="dxa"/>
            <w:tcBorders>
              <w:top w:val="single" w:sz="4" w:space="0" w:color="auto"/>
              <w:left w:val="single" w:sz="8" w:space="0" w:color="000000"/>
              <w:bottom w:val="single" w:sz="4" w:space="0" w:color="auto"/>
              <w:right w:val="single" w:sz="4" w:space="0" w:color="auto"/>
            </w:tcBorders>
            <w:shd w:val="clear" w:color="auto" w:fill="auto"/>
            <w:noWrap/>
            <w:vAlign w:val="bottom"/>
          </w:tcPr>
          <w:p w14:paraId="217C34E1"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4.5 Kennisdeling</w:t>
            </w:r>
          </w:p>
        </w:tc>
        <w:tc>
          <w:tcPr>
            <w:tcW w:w="310" w:type="dxa"/>
            <w:tcBorders>
              <w:top w:val="single" w:sz="4" w:space="0" w:color="auto"/>
              <w:left w:val="nil"/>
              <w:bottom w:val="single" w:sz="4" w:space="0" w:color="auto"/>
              <w:right w:val="single" w:sz="4" w:space="0" w:color="000000"/>
            </w:tcBorders>
            <w:vAlign w:val="center"/>
          </w:tcPr>
          <w:p w14:paraId="3505655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15</w:t>
            </w:r>
          </w:p>
        </w:tc>
        <w:tc>
          <w:tcPr>
            <w:tcW w:w="130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B0CBC81"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22A85FCE"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0702B7E" w14:textId="77777777" w:rsidR="00A76C5C" w:rsidRPr="00A76C5C" w:rsidRDefault="00A76C5C" w:rsidP="00A76C5C">
            <w:pPr>
              <w:contextualSpacing w:val="0"/>
              <w:jc w:val="center"/>
              <w:rPr>
                <w:rFonts w:eastAsia="Times New Roman" w:cs="Calibri"/>
                <w:b/>
                <w:bCs/>
                <w:sz w:val="16"/>
                <w:szCs w:val="16"/>
                <w:lang w:eastAsia="nl-NL"/>
              </w:rPr>
            </w:pPr>
          </w:p>
        </w:tc>
        <w:tc>
          <w:tcPr>
            <w:tcW w:w="1304" w:type="dxa"/>
            <w:tcBorders>
              <w:top w:val="single" w:sz="4" w:space="0" w:color="auto"/>
              <w:left w:val="nil"/>
              <w:bottom w:val="single" w:sz="4" w:space="0" w:color="auto"/>
              <w:right w:val="single" w:sz="8" w:space="0" w:color="000000"/>
            </w:tcBorders>
            <w:shd w:val="clear" w:color="auto" w:fill="auto"/>
            <w:noWrap/>
            <w:vAlign w:val="center"/>
          </w:tcPr>
          <w:p w14:paraId="5A414974"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auto"/>
              <w:left w:val="single" w:sz="8" w:space="0" w:color="000000"/>
              <w:bottom w:val="single" w:sz="4" w:space="0" w:color="auto"/>
              <w:right w:val="single" w:sz="8" w:space="0" w:color="000000"/>
            </w:tcBorders>
            <w:shd w:val="clear" w:color="auto" w:fill="auto"/>
            <w:noWrap/>
            <w:vAlign w:val="bottom"/>
          </w:tcPr>
          <w:p w14:paraId="15ABC853"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7037250" w14:textId="77777777" w:rsidTr="00A76C5C">
        <w:trPr>
          <w:trHeight w:val="250"/>
        </w:trPr>
        <w:tc>
          <w:tcPr>
            <w:tcW w:w="2258" w:type="dxa"/>
            <w:vMerge/>
            <w:tcBorders>
              <w:left w:val="single" w:sz="8" w:space="0" w:color="000000"/>
              <w:bottom w:val="single" w:sz="8" w:space="0" w:color="000000"/>
              <w:right w:val="single" w:sz="8" w:space="0" w:color="000000"/>
            </w:tcBorders>
            <w:shd w:val="clear" w:color="auto" w:fill="00B050"/>
            <w:noWrap/>
            <w:vAlign w:val="bottom"/>
          </w:tcPr>
          <w:p w14:paraId="4061EA3C" w14:textId="77777777" w:rsidR="00A76C5C" w:rsidRPr="00A76C5C" w:rsidRDefault="00A76C5C" w:rsidP="00A76C5C">
            <w:pPr>
              <w:ind w:left="62"/>
              <w:contextualSpacing w:val="0"/>
              <w:rPr>
                <w:rFonts w:eastAsia="Times New Roman" w:cs="Calibri"/>
                <w:color w:val="000000"/>
                <w:sz w:val="16"/>
                <w:szCs w:val="16"/>
                <w:lang w:eastAsia="nl-NL"/>
              </w:rPr>
            </w:pPr>
          </w:p>
        </w:tc>
        <w:tc>
          <w:tcPr>
            <w:tcW w:w="5077" w:type="dxa"/>
            <w:tcBorders>
              <w:top w:val="single" w:sz="4" w:space="0" w:color="auto"/>
              <w:left w:val="single" w:sz="8" w:space="0" w:color="000000"/>
              <w:bottom w:val="single" w:sz="8" w:space="0" w:color="000000"/>
              <w:right w:val="single" w:sz="4" w:space="0" w:color="auto"/>
            </w:tcBorders>
            <w:shd w:val="clear" w:color="auto" w:fill="auto"/>
            <w:noWrap/>
            <w:vAlign w:val="bottom"/>
          </w:tcPr>
          <w:p w14:paraId="0763CC7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4.6 Veiligheidsbewustzijn</w:t>
            </w:r>
          </w:p>
        </w:tc>
        <w:tc>
          <w:tcPr>
            <w:tcW w:w="310" w:type="dxa"/>
            <w:tcBorders>
              <w:top w:val="single" w:sz="4" w:space="0" w:color="auto"/>
              <w:left w:val="nil"/>
              <w:bottom w:val="single" w:sz="8" w:space="0" w:color="000000"/>
              <w:right w:val="single" w:sz="4" w:space="0" w:color="000000"/>
            </w:tcBorders>
            <w:vAlign w:val="center"/>
          </w:tcPr>
          <w:p w14:paraId="1AA72AA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16</w:t>
            </w:r>
          </w:p>
        </w:tc>
        <w:tc>
          <w:tcPr>
            <w:tcW w:w="1304" w:type="dxa"/>
            <w:tcBorders>
              <w:top w:val="single" w:sz="4" w:space="0" w:color="auto"/>
              <w:left w:val="single" w:sz="4" w:space="0" w:color="000000"/>
              <w:bottom w:val="single" w:sz="8" w:space="0" w:color="000000"/>
              <w:right w:val="single" w:sz="4" w:space="0" w:color="auto"/>
            </w:tcBorders>
            <w:shd w:val="clear" w:color="000000" w:fill="FFFF00"/>
            <w:noWrap/>
            <w:vAlign w:val="center"/>
          </w:tcPr>
          <w:p w14:paraId="1A1BF81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4" w:space="0" w:color="auto"/>
              <w:left w:val="nil"/>
              <w:bottom w:val="single" w:sz="8" w:space="0" w:color="000000"/>
              <w:right w:val="single" w:sz="4" w:space="0" w:color="auto"/>
            </w:tcBorders>
            <w:shd w:val="clear" w:color="000000" w:fill="FFFF00"/>
            <w:noWrap/>
            <w:vAlign w:val="center"/>
          </w:tcPr>
          <w:p w14:paraId="3E09B01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4" w:space="0" w:color="auto"/>
              <w:left w:val="nil"/>
              <w:bottom w:val="single" w:sz="8" w:space="0" w:color="000000"/>
              <w:right w:val="single" w:sz="4" w:space="0" w:color="auto"/>
            </w:tcBorders>
            <w:shd w:val="clear" w:color="000000" w:fill="FFFF00"/>
            <w:noWrap/>
            <w:vAlign w:val="center"/>
          </w:tcPr>
          <w:p w14:paraId="14B580D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4" w:type="dxa"/>
            <w:tcBorders>
              <w:top w:val="single" w:sz="4" w:space="0" w:color="auto"/>
              <w:left w:val="nil"/>
              <w:bottom w:val="single" w:sz="8" w:space="0" w:color="000000"/>
              <w:right w:val="single" w:sz="8" w:space="0" w:color="000000"/>
            </w:tcBorders>
            <w:shd w:val="clear" w:color="000000" w:fill="FFFF00"/>
            <w:noWrap/>
            <w:vAlign w:val="center"/>
          </w:tcPr>
          <w:p w14:paraId="121C256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auto"/>
              <w:left w:val="single" w:sz="8" w:space="0" w:color="000000"/>
              <w:bottom w:val="single" w:sz="8" w:space="0" w:color="000000"/>
              <w:right w:val="single" w:sz="8" w:space="0" w:color="000000"/>
            </w:tcBorders>
            <w:shd w:val="clear" w:color="auto" w:fill="00B050"/>
            <w:noWrap/>
            <w:vAlign w:val="bottom"/>
          </w:tcPr>
          <w:p w14:paraId="5CD29DFA" w14:textId="77777777" w:rsidR="00A76C5C" w:rsidRPr="00A76C5C" w:rsidRDefault="00A76C5C" w:rsidP="00A76C5C">
            <w:pPr>
              <w:contextualSpacing w:val="0"/>
              <w:jc w:val="center"/>
              <w:rPr>
                <w:rFonts w:eastAsia="Times New Roman" w:cs="Calibri"/>
                <w:b/>
                <w:bCs/>
                <w:color w:val="000000"/>
                <w:sz w:val="16"/>
                <w:szCs w:val="16"/>
                <w:lang w:eastAsia="nl-NL"/>
              </w:rPr>
            </w:pPr>
            <w:r w:rsidRPr="00A76C5C">
              <w:rPr>
                <w:rFonts w:eastAsia="Times New Roman" w:cs="Calibri"/>
                <w:b/>
                <w:bCs/>
                <w:color w:val="FFFFFF"/>
                <w:sz w:val="16"/>
                <w:szCs w:val="16"/>
                <w:lang w:eastAsia="nl-NL"/>
              </w:rPr>
              <w:t>20K</w:t>
            </w:r>
          </w:p>
        </w:tc>
      </w:tr>
      <w:bookmarkEnd w:id="30"/>
    </w:tbl>
    <w:p w14:paraId="7A452F84" w14:textId="77777777" w:rsidR="00A76C5C" w:rsidRPr="00A76C5C" w:rsidRDefault="00A76C5C" w:rsidP="00A76C5C">
      <w:pPr>
        <w:spacing w:line="259" w:lineRule="auto"/>
        <w:contextualSpacing w:val="0"/>
        <w:rPr>
          <w:szCs w:val="22"/>
        </w:rPr>
      </w:pPr>
    </w:p>
    <w:p w14:paraId="4B3CCD98" w14:textId="77777777" w:rsidR="00A76C5C" w:rsidRPr="00A76C5C" w:rsidRDefault="00A76C5C" w:rsidP="00A76C5C">
      <w:pPr>
        <w:spacing w:after="160" w:line="259" w:lineRule="auto"/>
        <w:contextualSpacing w:val="0"/>
        <w:rPr>
          <w:szCs w:val="22"/>
        </w:rPr>
      </w:pPr>
      <w:r w:rsidRPr="00A76C5C">
        <w:rPr>
          <w:szCs w:val="22"/>
        </w:rPr>
        <w:br w:type="page"/>
      </w:r>
    </w:p>
    <w:tbl>
      <w:tblPr>
        <w:tblW w:w="13887" w:type="dxa"/>
        <w:tblInd w:w="-5" w:type="dxa"/>
        <w:tblLayout w:type="fixed"/>
        <w:tblCellMar>
          <w:left w:w="70" w:type="dxa"/>
          <w:right w:w="70" w:type="dxa"/>
        </w:tblCellMar>
        <w:tblLook w:val="04A0" w:firstRow="1" w:lastRow="0" w:firstColumn="1" w:lastColumn="0" w:noHBand="0" w:noVBand="1"/>
      </w:tblPr>
      <w:tblGrid>
        <w:gridCol w:w="2253"/>
        <w:gridCol w:w="5096"/>
        <w:gridCol w:w="312"/>
        <w:gridCol w:w="1309"/>
        <w:gridCol w:w="1309"/>
        <w:gridCol w:w="1309"/>
        <w:gridCol w:w="1309"/>
        <w:gridCol w:w="990"/>
      </w:tblGrid>
      <w:tr w:rsidR="00A76C5C" w:rsidRPr="00A76C5C" w14:paraId="1D675E33" w14:textId="77777777" w:rsidTr="00A76C5C">
        <w:trPr>
          <w:trHeight w:val="312"/>
        </w:trPr>
        <w:tc>
          <w:tcPr>
            <w:tcW w:w="225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A816C2" w14:textId="77777777" w:rsidR="00A76C5C" w:rsidRPr="00A76C5C" w:rsidRDefault="00A76C5C" w:rsidP="00A76C5C">
            <w:pPr>
              <w:contextualSpacing w:val="0"/>
              <w:rPr>
                <w:rFonts w:eastAsia="Times New Roman" w:cs="Calibri"/>
                <w:b/>
                <w:bCs/>
                <w:color w:val="000000"/>
                <w:sz w:val="32"/>
                <w:szCs w:val="32"/>
                <w:lang w:eastAsia="nl-NL"/>
              </w:rPr>
            </w:pPr>
            <w:bookmarkStart w:id="32" w:name="_Hlk119069036"/>
            <w:r w:rsidRPr="00A76C5C">
              <w:rPr>
                <w:rFonts w:eastAsia="Times New Roman" w:cs="Calibri"/>
                <w:b/>
                <w:bCs/>
                <w:color w:val="000000"/>
                <w:sz w:val="32"/>
                <w:szCs w:val="32"/>
                <w:lang w:eastAsia="nl-NL"/>
              </w:rPr>
              <w:lastRenderedPageBreak/>
              <w:t>Thema’s</w:t>
            </w:r>
          </w:p>
        </w:tc>
        <w:tc>
          <w:tcPr>
            <w:tcW w:w="5096" w:type="dxa"/>
            <w:tcBorders>
              <w:top w:val="single" w:sz="8" w:space="0" w:color="auto"/>
              <w:left w:val="nil"/>
              <w:bottom w:val="single" w:sz="8" w:space="0" w:color="auto"/>
              <w:right w:val="single" w:sz="4" w:space="0" w:color="auto"/>
            </w:tcBorders>
            <w:shd w:val="clear" w:color="auto" w:fill="D9D9D9"/>
            <w:noWrap/>
            <w:vAlign w:val="center"/>
            <w:hideMark/>
          </w:tcPr>
          <w:p w14:paraId="297E08D0"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6324E29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1309"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19166CB7"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0C556D7E"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1309"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4456396A"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3AE56BA7"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1309"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0E5FBED6"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0A28D111"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1309"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5AE92AED"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3E20B751"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08256383"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r>
      <w:bookmarkEnd w:id="32"/>
      <w:tr w:rsidR="00A76C5C" w:rsidRPr="00A76C5C" w14:paraId="5EFADC06" w14:textId="77777777" w:rsidTr="00A76C5C">
        <w:trPr>
          <w:trHeight w:val="240"/>
        </w:trPr>
        <w:tc>
          <w:tcPr>
            <w:tcW w:w="2253" w:type="dxa"/>
            <w:vMerge w:val="restart"/>
            <w:tcBorders>
              <w:top w:val="single" w:sz="8" w:space="0" w:color="auto"/>
              <w:left w:val="single" w:sz="8" w:space="0" w:color="auto"/>
              <w:right w:val="single" w:sz="8" w:space="0" w:color="auto"/>
            </w:tcBorders>
            <w:shd w:val="clear" w:color="auto" w:fill="00B050"/>
            <w:noWrap/>
            <w:vAlign w:val="center"/>
          </w:tcPr>
          <w:p w14:paraId="21959A8E" w14:textId="77777777" w:rsidR="00A76C5C" w:rsidRPr="00A76C5C" w:rsidRDefault="00A76C5C" w:rsidP="00A76C5C">
            <w:pPr>
              <w:contextualSpacing w:val="0"/>
              <w:rPr>
                <w:rFonts w:eastAsia="Times New Roman" w:cs="Calibri"/>
                <w:b/>
                <w:bCs/>
                <w:color w:val="000000"/>
                <w:sz w:val="16"/>
                <w:szCs w:val="16"/>
                <w:lang w:val="en-US" w:eastAsia="nl-NL"/>
              </w:rPr>
            </w:pPr>
            <w:r w:rsidRPr="00A76C5C">
              <w:rPr>
                <w:rFonts w:eastAsia="Times New Roman" w:cs="Calibri"/>
                <w:b/>
                <w:bCs/>
                <w:color w:val="FFFFFF"/>
                <w:sz w:val="16"/>
                <w:szCs w:val="16"/>
                <w:lang w:val="en-US" w:eastAsia="nl-NL"/>
              </w:rPr>
              <w:t>P09 ITIL</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56ECC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5.1 Identificatie en onderhoud van configuratie-items</w:t>
            </w:r>
          </w:p>
        </w:tc>
        <w:tc>
          <w:tcPr>
            <w:tcW w:w="312" w:type="dxa"/>
            <w:tcBorders>
              <w:top w:val="single" w:sz="8" w:space="0" w:color="auto"/>
              <w:left w:val="single" w:sz="4" w:space="0" w:color="auto"/>
              <w:bottom w:val="single" w:sz="4" w:space="0" w:color="auto"/>
              <w:right w:val="single" w:sz="4" w:space="0" w:color="auto"/>
            </w:tcBorders>
            <w:vAlign w:val="center"/>
          </w:tcPr>
          <w:p w14:paraId="38C5D10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17</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EFD6E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4" w:space="0" w:color="auto"/>
            </w:tcBorders>
            <w:shd w:val="clear" w:color="000000" w:fill="FFFF00"/>
            <w:noWrap/>
            <w:vAlign w:val="center"/>
            <w:hideMark/>
          </w:tcPr>
          <w:p w14:paraId="67131C1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329EB4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A342131"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8" w:space="0" w:color="auto"/>
              <w:left w:val="single" w:sz="8" w:space="0" w:color="auto"/>
              <w:bottom w:val="single" w:sz="4" w:space="0" w:color="FFFFFF"/>
              <w:right w:val="single" w:sz="8" w:space="0" w:color="auto"/>
            </w:tcBorders>
            <w:shd w:val="clear" w:color="auto" w:fill="00B050"/>
            <w:noWrap/>
            <w:vAlign w:val="center"/>
            <w:hideMark/>
          </w:tcPr>
          <w:p w14:paraId="1CEA2E3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5220212" w14:textId="77777777" w:rsidTr="00A76C5C">
        <w:trPr>
          <w:trHeight w:val="250"/>
        </w:trPr>
        <w:tc>
          <w:tcPr>
            <w:tcW w:w="2253" w:type="dxa"/>
            <w:vMerge/>
            <w:tcBorders>
              <w:left w:val="single" w:sz="8" w:space="0" w:color="auto"/>
              <w:right w:val="single" w:sz="8" w:space="0" w:color="auto"/>
            </w:tcBorders>
            <w:shd w:val="clear" w:color="auto" w:fill="00B050"/>
            <w:noWrap/>
            <w:vAlign w:val="center"/>
            <w:hideMark/>
          </w:tcPr>
          <w:p w14:paraId="58D7C44B" w14:textId="77777777" w:rsidR="00A76C5C" w:rsidRPr="00A76C5C" w:rsidRDefault="00A76C5C" w:rsidP="00A76C5C">
            <w:pPr>
              <w:contextualSpacing w:val="0"/>
              <w:rPr>
                <w:rFonts w:eastAsia="Times New Roman" w:cs="Calibri"/>
                <w:b/>
                <w:bCs/>
                <w:color w:val="FF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92639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5.2 Configuratiedatabase en baseline</w:t>
            </w:r>
          </w:p>
        </w:tc>
        <w:tc>
          <w:tcPr>
            <w:tcW w:w="312" w:type="dxa"/>
            <w:tcBorders>
              <w:top w:val="single" w:sz="4" w:space="0" w:color="auto"/>
              <w:left w:val="single" w:sz="4" w:space="0" w:color="auto"/>
              <w:bottom w:val="single" w:sz="4" w:space="0" w:color="auto"/>
              <w:right w:val="single" w:sz="4" w:space="0" w:color="auto"/>
            </w:tcBorders>
            <w:vAlign w:val="center"/>
          </w:tcPr>
          <w:p w14:paraId="5303526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18</w:t>
            </w: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17C016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D4E555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8F5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8316C7"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hideMark/>
          </w:tcPr>
          <w:p w14:paraId="010DAFE8"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779D58B" w14:textId="77777777" w:rsidTr="00A76C5C">
        <w:trPr>
          <w:trHeight w:val="240"/>
        </w:trPr>
        <w:tc>
          <w:tcPr>
            <w:tcW w:w="2253" w:type="dxa"/>
            <w:vMerge/>
            <w:tcBorders>
              <w:left w:val="single" w:sz="8" w:space="0" w:color="auto"/>
              <w:right w:val="single" w:sz="8" w:space="0" w:color="auto"/>
            </w:tcBorders>
            <w:shd w:val="clear" w:color="auto" w:fill="00B050"/>
            <w:noWrap/>
            <w:vAlign w:val="center"/>
            <w:hideMark/>
          </w:tcPr>
          <w:p w14:paraId="04B61528"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56495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6.1 Incident management</w:t>
            </w:r>
          </w:p>
        </w:tc>
        <w:tc>
          <w:tcPr>
            <w:tcW w:w="312" w:type="dxa"/>
            <w:tcBorders>
              <w:top w:val="single" w:sz="4" w:space="0" w:color="auto"/>
              <w:left w:val="single" w:sz="4" w:space="0" w:color="auto"/>
              <w:bottom w:val="single" w:sz="4" w:space="0" w:color="auto"/>
              <w:right w:val="single" w:sz="4" w:space="0" w:color="auto"/>
            </w:tcBorders>
            <w:vAlign w:val="center"/>
          </w:tcPr>
          <w:p w14:paraId="0149B80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19</w:t>
            </w: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25A5E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919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2B1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AB1F5A"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auto"/>
              <w:right w:val="single" w:sz="8" w:space="0" w:color="auto"/>
            </w:tcBorders>
            <w:shd w:val="clear" w:color="auto" w:fill="00B050"/>
            <w:noWrap/>
            <w:vAlign w:val="center"/>
            <w:hideMark/>
          </w:tcPr>
          <w:p w14:paraId="00DE9EAC"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39D26CCB" w14:textId="77777777" w:rsidTr="00A76C5C">
        <w:trPr>
          <w:trHeight w:val="240"/>
        </w:trPr>
        <w:tc>
          <w:tcPr>
            <w:tcW w:w="2253" w:type="dxa"/>
            <w:vMerge/>
            <w:tcBorders>
              <w:left w:val="single" w:sz="8" w:space="0" w:color="auto"/>
              <w:right w:val="single" w:sz="8" w:space="0" w:color="auto"/>
            </w:tcBorders>
            <w:shd w:val="clear" w:color="auto" w:fill="00B050"/>
            <w:noWrap/>
            <w:vAlign w:val="center"/>
            <w:hideMark/>
          </w:tcPr>
          <w:p w14:paraId="18022405" w14:textId="77777777" w:rsidR="00A76C5C" w:rsidRPr="00A76C5C" w:rsidRDefault="00A76C5C" w:rsidP="00A76C5C">
            <w:pPr>
              <w:contextualSpacing w:val="0"/>
              <w:rPr>
                <w:rFonts w:eastAsia="Times New Roman" w:cs="Calibri"/>
                <w:b/>
                <w:bCs/>
                <w:color w:val="FF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2C8FD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6.2 Incident escalatie</w:t>
            </w:r>
          </w:p>
        </w:tc>
        <w:tc>
          <w:tcPr>
            <w:tcW w:w="312" w:type="dxa"/>
            <w:tcBorders>
              <w:top w:val="single" w:sz="4" w:space="0" w:color="auto"/>
              <w:left w:val="single" w:sz="4" w:space="0" w:color="auto"/>
              <w:bottom w:val="single" w:sz="4" w:space="0" w:color="auto"/>
              <w:right w:val="single" w:sz="4" w:space="0" w:color="auto"/>
            </w:tcBorders>
            <w:vAlign w:val="center"/>
          </w:tcPr>
          <w:p w14:paraId="3996CB2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20</w:t>
            </w: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FD4D4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2F2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D7F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87414C6"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FFFFFF"/>
              <w:right w:val="single" w:sz="8" w:space="0" w:color="auto"/>
            </w:tcBorders>
            <w:shd w:val="clear" w:color="auto" w:fill="00B050"/>
            <w:noWrap/>
            <w:vAlign w:val="center"/>
            <w:hideMark/>
          </w:tcPr>
          <w:p w14:paraId="584DC02D"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15C9663" w14:textId="77777777" w:rsidTr="00A76C5C">
        <w:trPr>
          <w:trHeight w:val="240"/>
        </w:trPr>
        <w:tc>
          <w:tcPr>
            <w:tcW w:w="2253" w:type="dxa"/>
            <w:vMerge/>
            <w:tcBorders>
              <w:left w:val="single" w:sz="8" w:space="0" w:color="auto"/>
              <w:right w:val="single" w:sz="8" w:space="0" w:color="auto"/>
            </w:tcBorders>
            <w:shd w:val="clear" w:color="auto" w:fill="00B050"/>
            <w:noWrap/>
            <w:vAlign w:val="center"/>
            <w:hideMark/>
          </w:tcPr>
          <w:p w14:paraId="58A4778B"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8AFA7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6.3 Incidentrespons op (cyber) beveiligingsincidenten</w:t>
            </w:r>
          </w:p>
        </w:tc>
        <w:tc>
          <w:tcPr>
            <w:tcW w:w="312" w:type="dxa"/>
            <w:tcBorders>
              <w:top w:val="single" w:sz="4" w:space="0" w:color="auto"/>
              <w:left w:val="single" w:sz="4" w:space="0" w:color="auto"/>
              <w:bottom w:val="single" w:sz="4" w:space="0" w:color="auto"/>
              <w:right w:val="single" w:sz="4" w:space="0" w:color="auto"/>
            </w:tcBorders>
            <w:vAlign w:val="center"/>
          </w:tcPr>
          <w:p w14:paraId="46B89C4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21</w:t>
            </w: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50F85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B8B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0F6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3EFB32"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auto"/>
              <w:right w:val="single" w:sz="8" w:space="0" w:color="auto"/>
            </w:tcBorders>
            <w:shd w:val="clear" w:color="auto" w:fill="00B050"/>
            <w:noWrap/>
            <w:vAlign w:val="center"/>
            <w:hideMark/>
          </w:tcPr>
          <w:p w14:paraId="6A379503"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53A2D3D3" w14:textId="77777777" w:rsidTr="00751390">
        <w:trPr>
          <w:trHeight w:val="250"/>
        </w:trPr>
        <w:tc>
          <w:tcPr>
            <w:tcW w:w="2253" w:type="dxa"/>
            <w:vMerge/>
            <w:tcBorders>
              <w:left w:val="single" w:sz="8" w:space="0" w:color="auto"/>
              <w:right w:val="single" w:sz="8" w:space="0" w:color="auto"/>
            </w:tcBorders>
            <w:shd w:val="clear" w:color="auto" w:fill="00B050"/>
            <w:noWrap/>
            <w:vAlign w:val="center"/>
            <w:hideMark/>
          </w:tcPr>
          <w:p w14:paraId="08024F4D"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A8EFD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6.4 Probleemmanagement</w:t>
            </w:r>
          </w:p>
        </w:tc>
        <w:tc>
          <w:tcPr>
            <w:tcW w:w="312" w:type="dxa"/>
            <w:tcBorders>
              <w:top w:val="single" w:sz="4" w:space="0" w:color="auto"/>
              <w:left w:val="single" w:sz="4" w:space="0" w:color="auto"/>
              <w:bottom w:val="single" w:sz="4" w:space="0" w:color="auto"/>
              <w:right w:val="single" w:sz="4" w:space="0" w:color="auto"/>
            </w:tcBorders>
            <w:vAlign w:val="center"/>
          </w:tcPr>
          <w:p w14:paraId="7B063E7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EF0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444D"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068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95561D"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D154272"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F256173"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28A51946"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7612D"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7.1 Normen en procedures voor aanpassingen</w:t>
            </w:r>
          </w:p>
        </w:tc>
        <w:tc>
          <w:tcPr>
            <w:tcW w:w="312" w:type="dxa"/>
            <w:tcBorders>
              <w:top w:val="single" w:sz="4" w:space="0" w:color="auto"/>
              <w:left w:val="single" w:sz="4" w:space="0" w:color="auto"/>
              <w:bottom w:val="single" w:sz="4" w:space="0" w:color="auto"/>
              <w:right w:val="single" w:sz="4" w:space="0" w:color="auto"/>
            </w:tcBorders>
            <w:vAlign w:val="center"/>
          </w:tcPr>
          <w:p w14:paraId="5BE7F7E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D483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8E2F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6F36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452EBB"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1E9420"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33A9855F"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781839BD"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6BF401" w14:textId="77777777" w:rsidR="00A76C5C" w:rsidRPr="00A76C5C" w:rsidRDefault="00A76C5C" w:rsidP="00A76C5C">
            <w:pPr>
              <w:contextualSpacing w:val="0"/>
              <w:rPr>
                <w:rFonts w:eastAsia="Times New Roman" w:cs="Calibri"/>
                <w:color w:val="000000"/>
                <w:sz w:val="16"/>
                <w:szCs w:val="16"/>
                <w:lang w:val="en-US" w:eastAsia="nl-NL"/>
              </w:rPr>
            </w:pPr>
            <w:r w:rsidRPr="00A76C5C">
              <w:rPr>
                <w:rFonts w:eastAsia="Times New Roman" w:cs="Calibri"/>
                <w:color w:val="000000"/>
                <w:sz w:val="16"/>
                <w:szCs w:val="16"/>
                <w:lang w:val="en-US" w:eastAsia="nl-NL"/>
              </w:rPr>
              <w:t>7.2 Impact assessment, prioriteren en autoriseren</w:t>
            </w:r>
          </w:p>
        </w:tc>
        <w:tc>
          <w:tcPr>
            <w:tcW w:w="312" w:type="dxa"/>
            <w:tcBorders>
              <w:top w:val="single" w:sz="4" w:space="0" w:color="auto"/>
              <w:left w:val="single" w:sz="4" w:space="0" w:color="auto"/>
              <w:bottom w:val="single" w:sz="4" w:space="0" w:color="auto"/>
              <w:right w:val="single" w:sz="4" w:space="0" w:color="auto"/>
            </w:tcBorders>
            <w:vAlign w:val="center"/>
          </w:tcPr>
          <w:p w14:paraId="4C7CBD61" w14:textId="77777777" w:rsidR="00A76C5C" w:rsidRPr="00A76C5C" w:rsidRDefault="00A76C5C" w:rsidP="00A76C5C">
            <w:pPr>
              <w:contextualSpacing w:val="0"/>
              <w:jc w:val="center"/>
              <w:rPr>
                <w:rFonts w:eastAsia="Times New Roman" w:cs="Calibri"/>
                <w:b/>
                <w:bCs/>
                <w:sz w:val="16"/>
                <w:szCs w:val="16"/>
                <w:lang w:val="en-US" w:eastAsia="nl-NL"/>
              </w:rPr>
            </w:pPr>
            <w:r w:rsidRPr="00A76C5C">
              <w:rPr>
                <w:rFonts w:eastAsia="Times New Roman" w:cs="Calibri"/>
                <w:b/>
                <w:bCs/>
                <w:sz w:val="16"/>
                <w:szCs w:val="16"/>
                <w:lang w:val="en-US" w:eastAsia="nl-NL"/>
              </w:rPr>
              <w:t>24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051B" w14:textId="77777777" w:rsidR="00A76C5C" w:rsidRPr="00A76C5C" w:rsidRDefault="00A76C5C" w:rsidP="00A76C5C">
            <w:pPr>
              <w:contextualSpacing w:val="0"/>
              <w:jc w:val="center"/>
              <w:rPr>
                <w:rFonts w:eastAsia="Times New Roman" w:cs="Calibri"/>
                <w:b/>
                <w:bCs/>
                <w:sz w:val="16"/>
                <w:szCs w:val="16"/>
                <w:lang w:val="en-US"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D8F7" w14:textId="77777777" w:rsidR="00A76C5C" w:rsidRPr="00A76C5C" w:rsidRDefault="00A76C5C" w:rsidP="00A76C5C">
            <w:pPr>
              <w:contextualSpacing w:val="0"/>
              <w:jc w:val="center"/>
              <w:rPr>
                <w:rFonts w:eastAsia="Times New Roman" w:cs="Calibri"/>
                <w:b/>
                <w:bCs/>
                <w:sz w:val="16"/>
                <w:szCs w:val="16"/>
                <w:lang w:val="en-US"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A54BF" w14:textId="77777777" w:rsidR="00A76C5C" w:rsidRPr="00A76C5C" w:rsidRDefault="00A76C5C" w:rsidP="00A76C5C">
            <w:pPr>
              <w:contextualSpacing w:val="0"/>
              <w:jc w:val="center"/>
              <w:rPr>
                <w:rFonts w:eastAsia="Times New Roman" w:cs="Calibri"/>
                <w:b/>
                <w:bCs/>
                <w:sz w:val="16"/>
                <w:szCs w:val="16"/>
                <w:lang w:val="en-US"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BC1F522" w14:textId="77777777" w:rsidR="00A76C5C" w:rsidRPr="00A76C5C" w:rsidRDefault="00A76C5C" w:rsidP="00A76C5C">
            <w:pPr>
              <w:contextualSpacing w:val="0"/>
              <w:jc w:val="center"/>
              <w:rPr>
                <w:rFonts w:eastAsia="Times New Roman" w:cs="Calibri"/>
                <w:b/>
                <w:bCs/>
                <w:sz w:val="16"/>
                <w:szCs w:val="16"/>
                <w:lang w:val="en-US"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E5F9B7" w14:textId="77777777" w:rsidR="00A76C5C" w:rsidRPr="00A76C5C" w:rsidRDefault="00A76C5C" w:rsidP="00A76C5C">
            <w:pPr>
              <w:contextualSpacing w:val="0"/>
              <w:jc w:val="center"/>
              <w:rPr>
                <w:rFonts w:eastAsia="Times New Roman" w:cs="Calibri"/>
                <w:color w:val="000000"/>
                <w:sz w:val="16"/>
                <w:szCs w:val="16"/>
                <w:lang w:val="en-US" w:eastAsia="nl-NL"/>
              </w:rPr>
            </w:pPr>
          </w:p>
        </w:tc>
      </w:tr>
      <w:tr w:rsidR="00A76C5C" w:rsidRPr="00A76C5C" w14:paraId="210E656C"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096E6794" w14:textId="77777777" w:rsidR="00A76C5C" w:rsidRPr="00A76C5C" w:rsidRDefault="00A76C5C" w:rsidP="00A76C5C">
            <w:pPr>
              <w:contextualSpacing w:val="0"/>
              <w:rPr>
                <w:rFonts w:eastAsia="Times New Roman" w:cs="Calibri"/>
                <w:color w:val="000000"/>
                <w:sz w:val="16"/>
                <w:szCs w:val="16"/>
                <w:lang w:val="en-US"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8858F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7.3 Noodaanpassingen</w:t>
            </w:r>
          </w:p>
        </w:tc>
        <w:tc>
          <w:tcPr>
            <w:tcW w:w="312" w:type="dxa"/>
            <w:tcBorders>
              <w:top w:val="single" w:sz="4" w:space="0" w:color="auto"/>
              <w:left w:val="single" w:sz="4" w:space="0" w:color="auto"/>
              <w:bottom w:val="single" w:sz="4" w:space="0" w:color="auto"/>
              <w:right w:val="single" w:sz="4" w:space="0" w:color="auto"/>
            </w:tcBorders>
            <w:vAlign w:val="center"/>
          </w:tcPr>
          <w:p w14:paraId="68CA623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25</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680F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E6B4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6840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948080"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12748F"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A9DB0A2"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4055A10C"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1027C5"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7.4 Testomgeving</w:t>
            </w:r>
          </w:p>
        </w:tc>
        <w:tc>
          <w:tcPr>
            <w:tcW w:w="312" w:type="dxa"/>
            <w:tcBorders>
              <w:top w:val="single" w:sz="4" w:space="0" w:color="auto"/>
              <w:left w:val="single" w:sz="4" w:space="0" w:color="auto"/>
              <w:bottom w:val="single" w:sz="4" w:space="0" w:color="auto"/>
              <w:right w:val="single" w:sz="4" w:space="0" w:color="auto"/>
            </w:tcBorders>
            <w:vAlign w:val="center"/>
          </w:tcPr>
          <w:p w14:paraId="76D2854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26</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124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5E01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A19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2BAC44B"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09520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66A6A42"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0E8E36FB"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E0060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7.5 Testen van aanpassingen</w:t>
            </w:r>
          </w:p>
        </w:tc>
        <w:tc>
          <w:tcPr>
            <w:tcW w:w="312" w:type="dxa"/>
            <w:tcBorders>
              <w:top w:val="single" w:sz="4" w:space="0" w:color="auto"/>
              <w:left w:val="single" w:sz="4" w:space="0" w:color="auto"/>
              <w:bottom w:val="single" w:sz="4" w:space="0" w:color="auto"/>
              <w:right w:val="single" w:sz="4" w:space="0" w:color="auto"/>
            </w:tcBorders>
            <w:vAlign w:val="center"/>
          </w:tcPr>
          <w:p w14:paraId="2D5472B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27</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1C27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B7A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BDCF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BA80C9A"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F83DE0"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DF71160"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3B7B1C13"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F0E448"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7.6 Promotie naar productie</w:t>
            </w:r>
          </w:p>
        </w:tc>
        <w:tc>
          <w:tcPr>
            <w:tcW w:w="312" w:type="dxa"/>
            <w:tcBorders>
              <w:top w:val="single" w:sz="4" w:space="0" w:color="auto"/>
              <w:left w:val="single" w:sz="4" w:space="0" w:color="auto"/>
              <w:bottom w:val="single" w:sz="4" w:space="0" w:color="auto"/>
              <w:right w:val="single" w:sz="4" w:space="0" w:color="auto"/>
            </w:tcBorders>
            <w:vAlign w:val="center"/>
          </w:tcPr>
          <w:p w14:paraId="4072A72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28</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251F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F345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6DB1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A109FA"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08B43B"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72D9ECB" w14:textId="77777777" w:rsidTr="00751390">
        <w:trPr>
          <w:trHeight w:val="250"/>
        </w:trPr>
        <w:tc>
          <w:tcPr>
            <w:tcW w:w="2253" w:type="dxa"/>
            <w:vMerge/>
            <w:tcBorders>
              <w:left w:val="single" w:sz="8" w:space="0" w:color="auto"/>
              <w:right w:val="single" w:sz="8" w:space="0" w:color="auto"/>
            </w:tcBorders>
            <w:shd w:val="clear" w:color="auto" w:fill="00B050"/>
            <w:noWrap/>
            <w:vAlign w:val="center"/>
          </w:tcPr>
          <w:p w14:paraId="3A6276D4"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756CA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12.1 Fysieke beveiligingsmaatregelen</w:t>
            </w:r>
          </w:p>
        </w:tc>
        <w:tc>
          <w:tcPr>
            <w:tcW w:w="312" w:type="dxa"/>
            <w:tcBorders>
              <w:top w:val="single" w:sz="4" w:space="0" w:color="auto"/>
              <w:left w:val="single" w:sz="4" w:space="0" w:color="auto"/>
              <w:bottom w:val="single" w:sz="4" w:space="0" w:color="auto"/>
              <w:right w:val="single" w:sz="4" w:space="0" w:color="auto"/>
            </w:tcBorders>
            <w:vAlign w:val="center"/>
          </w:tcPr>
          <w:p w14:paraId="29D6CB2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29</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CEB9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6D7D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769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FB8C5D"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44B703"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A566E44"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00B050"/>
            <w:noWrap/>
            <w:vAlign w:val="center"/>
          </w:tcPr>
          <w:p w14:paraId="5C31AE22"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8F2352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12.2 Beheer van fysieke toegangsrechten</w:t>
            </w:r>
          </w:p>
        </w:tc>
        <w:tc>
          <w:tcPr>
            <w:tcW w:w="312" w:type="dxa"/>
            <w:tcBorders>
              <w:top w:val="single" w:sz="4" w:space="0" w:color="auto"/>
              <w:left w:val="single" w:sz="4" w:space="0" w:color="auto"/>
              <w:bottom w:val="single" w:sz="8" w:space="0" w:color="auto"/>
              <w:right w:val="single" w:sz="4" w:space="0" w:color="auto"/>
            </w:tcBorders>
            <w:vAlign w:val="center"/>
          </w:tcPr>
          <w:p w14:paraId="7EEDFB1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30</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AC6D78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09465F9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6BCDAA4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4C0B1746"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88C766"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5B83A0DE"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60D11B37"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P10 Data Management</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10DF83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8.1 Methodiek voor veilige softwareontwikkeling en -implementatie</w:t>
            </w:r>
          </w:p>
        </w:tc>
        <w:tc>
          <w:tcPr>
            <w:tcW w:w="312" w:type="dxa"/>
            <w:tcBorders>
              <w:top w:val="single" w:sz="8" w:space="0" w:color="auto"/>
              <w:left w:val="single" w:sz="4" w:space="0" w:color="auto"/>
              <w:bottom w:val="single" w:sz="4" w:space="0" w:color="auto"/>
              <w:right w:val="single" w:sz="4" w:space="0" w:color="auto"/>
            </w:tcBorders>
            <w:shd w:val="clear" w:color="auto" w:fill="auto"/>
            <w:vAlign w:val="center"/>
          </w:tcPr>
          <w:p w14:paraId="1FF7B9F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31</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DA5C86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057CB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98F6BC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8" w:space="0" w:color="auto"/>
            </w:tcBorders>
            <w:shd w:val="clear" w:color="auto" w:fill="auto"/>
            <w:noWrap/>
            <w:vAlign w:val="center"/>
          </w:tcPr>
          <w:p w14:paraId="6E257FB6"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A15697"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3BB62A9" w14:textId="77777777" w:rsidTr="00751390">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3BF3F76"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F2716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8.2 Toegang tot de productieomgeving door ontwikkelaars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01F5469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22EA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58D8D"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4178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B6ECC2"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A5A518"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356AE447" w14:textId="77777777" w:rsidTr="00751390">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16C4B82D"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DA547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8.3 Data conversie en/of migratie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39E722F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5070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B018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5EF8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D21DCC"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CE179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06DD8D2"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0C44006"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D903E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9.1 Data (en systeem) eigenaarschap</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17780AC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1C41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D6E3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B14F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26703CC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990" w:type="dxa"/>
            <w:tcBorders>
              <w:top w:val="single" w:sz="4" w:space="0" w:color="auto"/>
              <w:left w:val="single" w:sz="8" w:space="0" w:color="auto"/>
              <w:bottom w:val="single" w:sz="4" w:space="0" w:color="FFFFFF"/>
              <w:right w:val="single" w:sz="8" w:space="0" w:color="auto"/>
            </w:tcBorders>
            <w:shd w:val="clear" w:color="auto" w:fill="00B050"/>
            <w:noWrap/>
            <w:vAlign w:val="center"/>
          </w:tcPr>
          <w:p w14:paraId="3AD820C4"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FC571A0"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123AD0E"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B2D7D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9.2 Classificatie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580F203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35</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679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92F7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EE9D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003E598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2FDDAF2"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DFA23C7"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24A4C4CB"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1E660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9.3 Beveiligingseisen voor gegevensbeheer</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093D02E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36</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5CC3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7069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558D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248E764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85CDF96" w14:textId="77777777" w:rsidR="00A76C5C" w:rsidRPr="00A76C5C" w:rsidRDefault="00A76C5C" w:rsidP="00A76C5C">
            <w:pPr>
              <w:contextualSpacing w:val="0"/>
              <w:jc w:val="center"/>
              <w:rPr>
                <w:rFonts w:eastAsia="Times New Roman" w:cs="Calibri"/>
                <w:b/>
                <w:bCs/>
                <w:color w:val="FFFFFF"/>
                <w:sz w:val="16"/>
                <w:szCs w:val="16"/>
                <w:lang w:eastAsia="nl-NL"/>
              </w:rPr>
            </w:pPr>
          </w:p>
        </w:tc>
      </w:tr>
      <w:tr w:rsidR="00A76C5C" w:rsidRPr="00A76C5C" w14:paraId="691933A5"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303B8287"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0B4AF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9.4 Inrichting van opslag en retentie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2A488C8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37</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2D42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1CB3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B7CD"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4530FD9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37CE2E6" w14:textId="77777777" w:rsidR="00A76C5C" w:rsidRPr="00A76C5C" w:rsidRDefault="00A76C5C" w:rsidP="00A76C5C">
            <w:pPr>
              <w:contextualSpacing w:val="0"/>
              <w:jc w:val="center"/>
              <w:rPr>
                <w:rFonts w:eastAsia="Times New Roman" w:cs="Calibri"/>
                <w:b/>
                <w:bCs/>
                <w:color w:val="000000"/>
                <w:sz w:val="16"/>
                <w:szCs w:val="16"/>
                <w:lang w:eastAsia="nl-NL"/>
              </w:rPr>
            </w:pPr>
            <w:r w:rsidRPr="00A76C5C">
              <w:rPr>
                <w:rFonts w:eastAsia="Times New Roman" w:cs="Calibri"/>
                <w:b/>
                <w:bCs/>
                <w:color w:val="FFFFFF"/>
                <w:sz w:val="16"/>
                <w:szCs w:val="16"/>
                <w:lang w:eastAsia="nl-NL"/>
              </w:rPr>
              <w:t>50K</w:t>
            </w:r>
          </w:p>
        </w:tc>
      </w:tr>
      <w:tr w:rsidR="00A76C5C" w:rsidRPr="00A76C5C" w14:paraId="0D311BB2"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06DF3396"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CAB18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9.5 Uitwisseling van (gevoelige) gegevens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6A0925B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38</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B49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1B1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9BB225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2158A6"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19528125"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2EFEECC7"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3000386F"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381B9B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9.6 Verwijdering van data</w:t>
            </w:r>
          </w:p>
        </w:tc>
        <w:tc>
          <w:tcPr>
            <w:tcW w:w="312" w:type="dxa"/>
            <w:tcBorders>
              <w:top w:val="single" w:sz="4" w:space="0" w:color="auto"/>
              <w:left w:val="single" w:sz="4" w:space="0" w:color="auto"/>
              <w:bottom w:val="single" w:sz="8" w:space="0" w:color="auto"/>
              <w:right w:val="single" w:sz="4" w:space="0" w:color="auto"/>
            </w:tcBorders>
            <w:shd w:val="clear" w:color="auto" w:fill="auto"/>
            <w:vAlign w:val="center"/>
          </w:tcPr>
          <w:p w14:paraId="72BE6E9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39</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EA5207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FDA98D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302671B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DE5F610"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A1DA992"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DA4F52A"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04CE649D"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P11 IAM</w:t>
            </w:r>
          </w:p>
          <w:p w14:paraId="7CF6981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 </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B35F8B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10.1 Toegangsrechten</w:t>
            </w:r>
          </w:p>
        </w:tc>
        <w:tc>
          <w:tcPr>
            <w:tcW w:w="312" w:type="dxa"/>
            <w:tcBorders>
              <w:top w:val="single" w:sz="8" w:space="0" w:color="auto"/>
              <w:left w:val="single" w:sz="4" w:space="0" w:color="auto"/>
              <w:bottom w:val="single" w:sz="4" w:space="0" w:color="auto"/>
              <w:right w:val="single" w:sz="4" w:space="0" w:color="auto"/>
            </w:tcBorders>
            <w:shd w:val="clear" w:color="auto" w:fill="auto"/>
            <w:vAlign w:val="center"/>
          </w:tcPr>
          <w:p w14:paraId="00931AE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40</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67B35D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FCDDFA9"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780A383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single" w:sz="4" w:space="0" w:color="auto"/>
              <w:bottom w:val="single" w:sz="4" w:space="0" w:color="auto"/>
              <w:right w:val="single" w:sz="8" w:space="0" w:color="auto"/>
            </w:tcBorders>
            <w:shd w:val="clear" w:color="auto" w:fill="auto"/>
            <w:noWrap/>
            <w:vAlign w:val="center"/>
          </w:tcPr>
          <w:p w14:paraId="3B1B61A9"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247E558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797DBE8"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5C5E1829"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D1B6D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10.2 Administratie van toegangsrechten</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285EFBD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41</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03C5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FD7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830F98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E273F4"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F8760C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5217BE5"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7DBF645"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83AE9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10.3 Super Users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62CE153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200D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7ABC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945991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E0E7F69"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3D3AD59B"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536AFB17"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409AB8D6"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B1CFD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10.4 Noodtoegang (envelopprocedure/breek-het-glasprocedure)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6280679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F3E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D6C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54FE6D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584E99"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7CC4B20"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C40DF69"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4A2F93D8"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E47B44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10.5 Periodieke beoordeling van toegangsrechten</w:t>
            </w:r>
          </w:p>
        </w:tc>
        <w:tc>
          <w:tcPr>
            <w:tcW w:w="312" w:type="dxa"/>
            <w:tcBorders>
              <w:top w:val="single" w:sz="4" w:space="0" w:color="auto"/>
              <w:left w:val="single" w:sz="4" w:space="0" w:color="auto"/>
              <w:bottom w:val="single" w:sz="8" w:space="0" w:color="auto"/>
              <w:right w:val="single" w:sz="4" w:space="0" w:color="auto"/>
            </w:tcBorders>
            <w:shd w:val="clear" w:color="auto" w:fill="auto"/>
            <w:vAlign w:val="center"/>
          </w:tcPr>
          <w:p w14:paraId="3FDC472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44</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0A2C64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F9DC8E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6331B68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533AE90"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2ABC7E2A"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245F1DE0" w14:textId="77777777" w:rsidTr="00A76C5C">
        <w:trPr>
          <w:trHeight w:val="250"/>
        </w:trPr>
        <w:tc>
          <w:tcPr>
            <w:tcW w:w="2253" w:type="dxa"/>
            <w:tcBorders>
              <w:top w:val="single" w:sz="8" w:space="0" w:color="FFFFFF"/>
              <w:left w:val="single" w:sz="8" w:space="0" w:color="auto"/>
              <w:bottom w:val="single" w:sz="8" w:space="0" w:color="auto"/>
              <w:right w:val="single" w:sz="8" w:space="0" w:color="auto"/>
            </w:tcBorders>
            <w:shd w:val="clear" w:color="auto" w:fill="00B050"/>
            <w:noWrap/>
            <w:vAlign w:val="center"/>
          </w:tcPr>
          <w:p w14:paraId="7FC783ED"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P12 Security Baselines</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41D119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 Security baselines</w:t>
            </w:r>
          </w:p>
        </w:tc>
        <w:tc>
          <w:tcPr>
            <w:tcW w:w="312" w:type="dxa"/>
            <w:tcBorders>
              <w:top w:val="single" w:sz="8" w:space="0" w:color="auto"/>
              <w:left w:val="single" w:sz="4" w:space="0" w:color="auto"/>
              <w:bottom w:val="single" w:sz="8" w:space="0" w:color="auto"/>
              <w:right w:val="single" w:sz="4" w:space="0" w:color="auto"/>
            </w:tcBorders>
            <w:shd w:val="clear" w:color="auto" w:fill="auto"/>
            <w:vAlign w:val="center"/>
          </w:tcPr>
          <w:p w14:paraId="0A377B8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45</w:t>
            </w:r>
          </w:p>
        </w:tc>
        <w:tc>
          <w:tcPr>
            <w:tcW w:w="1309"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0D8AEF6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9"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260F9BA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9"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3FD285C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9" w:type="dxa"/>
            <w:tcBorders>
              <w:top w:val="single" w:sz="8" w:space="0" w:color="auto"/>
              <w:left w:val="single" w:sz="4" w:space="0" w:color="auto"/>
              <w:bottom w:val="single" w:sz="8" w:space="0" w:color="auto"/>
              <w:right w:val="single" w:sz="8" w:space="0" w:color="auto"/>
            </w:tcBorders>
            <w:shd w:val="clear" w:color="000000" w:fill="FFFF00"/>
            <w:noWrap/>
            <w:vAlign w:val="center"/>
          </w:tcPr>
          <w:p w14:paraId="0A63A4D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990" w:type="dxa"/>
            <w:tcBorders>
              <w:top w:val="single" w:sz="4" w:space="0" w:color="FFFFFF"/>
              <w:left w:val="single" w:sz="8" w:space="0" w:color="auto"/>
              <w:bottom w:val="single" w:sz="8" w:space="0" w:color="auto"/>
              <w:right w:val="single" w:sz="8" w:space="0" w:color="auto"/>
            </w:tcBorders>
            <w:shd w:val="clear" w:color="auto" w:fill="00B050"/>
            <w:noWrap/>
            <w:vAlign w:val="center"/>
          </w:tcPr>
          <w:p w14:paraId="2BB6F198" w14:textId="77777777" w:rsidR="00A76C5C" w:rsidRPr="00A76C5C" w:rsidRDefault="00A76C5C" w:rsidP="00A76C5C">
            <w:pPr>
              <w:contextualSpacing w:val="0"/>
              <w:jc w:val="center"/>
              <w:rPr>
                <w:rFonts w:eastAsia="Times New Roman" w:cs="Calibri"/>
                <w:color w:val="000000"/>
                <w:sz w:val="16"/>
                <w:szCs w:val="16"/>
                <w:lang w:eastAsia="nl-NL"/>
              </w:rPr>
            </w:pPr>
          </w:p>
        </w:tc>
      </w:tr>
    </w:tbl>
    <w:p w14:paraId="7009E30E" w14:textId="77777777" w:rsidR="00A76C5C" w:rsidRPr="00A76C5C" w:rsidRDefault="00A76C5C" w:rsidP="00A76C5C">
      <w:pPr>
        <w:spacing w:line="259" w:lineRule="auto"/>
        <w:contextualSpacing w:val="0"/>
        <w:rPr>
          <w:szCs w:val="22"/>
        </w:rPr>
      </w:pPr>
      <w:r w:rsidRPr="00A76C5C">
        <w:rPr>
          <w:szCs w:val="22"/>
        </w:rPr>
        <w:br w:type="page"/>
      </w:r>
    </w:p>
    <w:tbl>
      <w:tblPr>
        <w:tblW w:w="13887" w:type="dxa"/>
        <w:tblInd w:w="-5" w:type="dxa"/>
        <w:tblLayout w:type="fixed"/>
        <w:tblCellMar>
          <w:left w:w="70" w:type="dxa"/>
          <w:right w:w="70" w:type="dxa"/>
        </w:tblCellMar>
        <w:tblLook w:val="04A0" w:firstRow="1" w:lastRow="0" w:firstColumn="1" w:lastColumn="0" w:noHBand="0" w:noVBand="1"/>
      </w:tblPr>
      <w:tblGrid>
        <w:gridCol w:w="2253"/>
        <w:gridCol w:w="5096"/>
        <w:gridCol w:w="312"/>
        <w:gridCol w:w="1309"/>
        <w:gridCol w:w="1309"/>
        <w:gridCol w:w="1309"/>
        <w:gridCol w:w="1309"/>
        <w:gridCol w:w="990"/>
      </w:tblGrid>
      <w:tr w:rsidR="00A76C5C" w:rsidRPr="00A76C5C" w14:paraId="79824941" w14:textId="77777777" w:rsidTr="00A76C5C">
        <w:trPr>
          <w:trHeight w:val="312"/>
        </w:trPr>
        <w:tc>
          <w:tcPr>
            <w:tcW w:w="2253"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46587145"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lastRenderedPageBreak/>
              <w:t>Thema’s</w:t>
            </w:r>
          </w:p>
        </w:tc>
        <w:tc>
          <w:tcPr>
            <w:tcW w:w="5096" w:type="dxa"/>
            <w:tcBorders>
              <w:top w:val="single" w:sz="8" w:space="0" w:color="auto"/>
              <w:left w:val="nil"/>
              <w:bottom w:val="single" w:sz="8" w:space="0" w:color="auto"/>
              <w:right w:val="single" w:sz="4" w:space="0" w:color="auto"/>
            </w:tcBorders>
            <w:shd w:val="clear" w:color="auto" w:fill="D9D9D9"/>
            <w:noWrap/>
            <w:vAlign w:val="center"/>
            <w:hideMark/>
          </w:tcPr>
          <w:p w14:paraId="49FE2E2C"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373E1A1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1309"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647C92FD"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1A1FE68E"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1309"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54DC859D"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2AFEC26F"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1309"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0A75F378"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6A09FF95"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1309"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1C9EF1CA"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18AE9320"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7C4EE3B3"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r>
      <w:tr w:rsidR="00A76C5C" w:rsidRPr="00A76C5C" w14:paraId="0838B1D4" w14:textId="77777777" w:rsidTr="00A76C5C">
        <w:trPr>
          <w:trHeight w:val="250"/>
        </w:trPr>
        <w:tc>
          <w:tcPr>
            <w:tcW w:w="2253" w:type="dxa"/>
            <w:vMerge w:val="restart"/>
            <w:tcBorders>
              <w:top w:val="single" w:sz="4" w:space="0" w:color="auto"/>
              <w:left w:val="single" w:sz="8" w:space="0" w:color="auto"/>
              <w:bottom w:val="single" w:sz="4" w:space="0" w:color="auto"/>
              <w:right w:val="single" w:sz="8" w:space="0" w:color="auto"/>
            </w:tcBorders>
            <w:shd w:val="clear" w:color="auto" w:fill="00B050"/>
            <w:noWrap/>
            <w:vAlign w:val="center"/>
          </w:tcPr>
          <w:p w14:paraId="16412CF0"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 xml:space="preserve">P13 Business Continuity </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D65C36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14.1 Bedrijfscontinuïteitsplanning</w:t>
            </w:r>
          </w:p>
        </w:tc>
        <w:tc>
          <w:tcPr>
            <w:tcW w:w="312" w:type="dxa"/>
            <w:tcBorders>
              <w:top w:val="single" w:sz="4" w:space="0" w:color="auto"/>
              <w:left w:val="single" w:sz="4" w:space="0" w:color="auto"/>
              <w:bottom w:val="single" w:sz="4" w:space="0" w:color="auto"/>
              <w:right w:val="single" w:sz="4" w:space="0" w:color="auto"/>
            </w:tcBorders>
            <w:vAlign w:val="center"/>
          </w:tcPr>
          <w:p w14:paraId="240767C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46</w:t>
            </w:r>
          </w:p>
        </w:tc>
        <w:tc>
          <w:tcPr>
            <w:tcW w:w="1309" w:type="dxa"/>
            <w:tcBorders>
              <w:top w:val="single" w:sz="8" w:space="0" w:color="auto"/>
              <w:left w:val="single" w:sz="4" w:space="0" w:color="auto"/>
              <w:bottom w:val="single" w:sz="4" w:space="0" w:color="auto"/>
              <w:right w:val="single" w:sz="4" w:space="0" w:color="auto"/>
            </w:tcBorders>
            <w:shd w:val="clear" w:color="auto" w:fill="FFFF00"/>
            <w:noWrap/>
            <w:vAlign w:val="center"/>
          </w:tcPr>
          <w:p w14:paraId="4B24C05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5BF49AC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51E2D32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05CC7477"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8" w:space="0" w:color="auto"/>
              <w:left w:val="single" w:sz="8" w:space="0" w:color="auto"/>
              <w:bottom w:val="single" w:sz="4" w:space="0" w:color="FFFFFF"/>
              <w:right w:val="single" w:sz="8" w:space="0" w:color="auto"/>
            </w:tcBorders>
            <w:shd w:val="clear" w:color="auto" w:fill="00B050"/>
            <w:noWrap/>
            <w:vAlign w:val="center"/>
          </w:tcPr>
          <w:p w14:paraId="0F9CAA29"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EBF3184"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020AB7B5"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365C3D"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14.2 Testen van Disaster recovery</w:t>
            </w:r>
          </w:p>
        </w:tc>
        <w:tc>
          <w:tcPr>
            <w:tcW w:w="312" w:type="dxa"/>
            <w:tcBorders>
              <w:top w:val="single" w:sz="4" w:space="0" w:color="auto"/>
              <w:left w:val="single" w:sz="4" w:space="0" w:color="auto"/>
              <w:bottom w:val="single" w:sz="4" w:space="0" w:color="auto"/>
              <w:right w:val="single" w:sz="4" w:space="0" w:color="auto"/>
            </w:tcBorders>
            <w:vAlign w:val="center"/>
          </w:tcPr>
          <w:p w14:paraId="707D86EC"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47</w:t>
            </w:r>
          </w:p>
        </w:tc>
        <w:tc>
          <w:tcPr>
            <w:tcW w:w="130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AADF8C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F2CE90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8F5182D"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0DAD2D46"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47AE8F60"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57857471"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57DB4E0C"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E0BF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14.3 Offsite back-upopslag</w:t>
            </w:r>
          </w:p>
        </w:tc>
        <w:tc>
          <w:tcPr>
            <w:tcW w:w="312" w:type="dxa"/>
            <w:tcBorders>
              <w:top w:val="single" w:sz="4" w:space="0" w:color="auto"/>
              <w:left w:val="single" w:sz="4" w:space="0" w:color="auto"/>
              <w:bottom w:val="single" w:sz="4" w:space="0" w:color="auto"/>
              <w:right w:val="single" w:sz="4" w:space="0" w:color="auto"/>
            </w:tcBorders>
            <w:vAlign w:val="center"/>
          </w:tcPr>
          <w:p w14:paraId="342CA70B"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48</w:t>
            </w:r>
          </w:p>
        </w:tc>
        <w:tc>
          <w:tcPr>
            <w:tcW w:w="130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01114F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A5DCB2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B4864D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4350C692"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CDEB9AA"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7CA037F"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35D0EA0B"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AF7D6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14.4 Gegevensreplicatie</w:t>
            </w:r>
          </w:p>
        </w:tc>
        <w:tc>
          <w:tcPr>
            <w:tcW w:w="312" w:type="dxa"/>
            <w:tcBorders>
              <w:top w:val="single" w:sz="4" w:space="0" w:color="auto"/>
              <w:left w:val="single" w:sz="4" w:space="0" w:color="auto"/>
              <w:bottom w:val="single" w:sz="4" w:space="0" w:color="auto"/>
              <w:right w:val="single" w:sz="4" w:space="0" w:color="auto"/>
            </w:tcBorders>
            <w:vAlign w:val="center"/>
          </w:tcPr>
          <w:p w14:paraId="296B280C"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49</w:t>
            </w:r>
          </w:p>
        </w:tc>
        <w:tc>
          <w:tcPr>
            <w:tcW w:w="130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EEC145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1D578D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588C5A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2B12E4A5"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EDA4D09"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37806C0C"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4BF505F0"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1F1AA1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14.5 Crisisbeheer</w:t>
            </w:r>
          </w:p>
        </w:tc>
        <w:tc>
          <w:tcPr>
            <w:tcW w:w="312" w:type="dxa"/>
            <w:tcBorders>
              <w:top w:val="single" w:sz="4" w:space="0" w:color="auto"/>
              <w:left w:val="single" w:sz="4" w:space="0" w:color="auto"/>
              <w:bottom w:val="single" w:sz="8" w:space="0" w:color="auto"/>
              <w:right w:val="single" w:sz="4" w:space="0" w:color="auto"/>
            </w:tcBorders>
            <w:vAlign w:val="center"/>
          </w:tcPr>
          <w:p w14:paraId="7F182A3E"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50</w:t>
            </w:r>
          </w:p>
        </w:tc>
        <w:tc>
          <w:tcPr>
            <w:tcW w:w="1309" w:type="dxa"/>
            <w:tcBorders>
              <w:top w:val="single" w:sz="4" w:space="0" w:color="auto"/>
              <w:left w:val="single" w:sz="4" w:space="0" w:color="auto"/>
              <w:bottom w:val="single" w:sz="8" w:space="0" w:color="auto"/>
              <w:right w:val="single" w:sz="4" w:space="0" w:color="auto"/>
            </w:tcBorders>
            <w:shd w:val="clear" w:color="auto" w:fill="FFFF00"/>
            <w:noWrap/>
            <w:vAlign w:val="center"/>
          </w:tcPr>
          <w:p w14:paraId="5D199B8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3A71B3B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3708232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4E38BD45"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1C1EBD0"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20CC120"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54BDC7F9"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P14 Cloud Leveranciers</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AD7D77"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15.1 Service level overeenkomst</w:t>
            </w:r>
          </w:p>
        </w:tc>
        <w:tc>
          <w:tcPr>
            <w:tcW w:w="312" w:type="dxa"/>
            <w:tcBorders>
              <w:top w:val="single" w:sz="8" w:space="0" w:color="auto"/>
              <w:left w:val="single" w:sz="4" w:space="0" w:color="auto"/>
              <w:bottom w:val="single" w:sz="4" w:space="0" w:color="auto"/>
              <w:right w:val="single" w:sz="4" w:space="0" w:color="auto"/>
            </w:tcBorders>
            <w:vAlign w:val="center"/>
          </w:tcPr>
          <w:p w14:paraId="0DB30830"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51</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84DD7A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FFFF00"/>
            <w:noWrap/>
            <w:vAlign w:val="center"/>
          </w:tcPr>
          <w:p w14:paraId="4D560C3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791E58F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1C47D92B"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B630D95"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17DA8E9"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E59EB13"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9C1AE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15.2 Service level beheer</w:t>
            </w:r>
          </w:p>
        </w:tc>
        <w:tc>
          <w:tcPr>
            <w:tcW w:w="312" w:type="dxa"/>
            <w:tcBorders>
              <w:top w:val="single" w:sz="4" w:space="0" w:color="auto"/>
              <w:left w:val="single" w:sz="4" w:space="0" w:color="auto"/>
              <w:bottom w:val="single" w:sz="4" w:space="0" w:color="auto"/>
              <w:right w:val="single" w:sz="4" w:space="0" w:color="auto"/>
            </w:tcBorders>
            <w:vAlign w:val="center"/>
          </w:tcPr>
          <w:p w14:paraId="21C027FF"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179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FFFF00"/>
            <w:noWrap/>
            <w:vAlign w:val="center"/>
          </w:tcPr>
          <w:p w14:paraId="0154A6F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7953009"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2160A3DC"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137B050E"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CE60AE0"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7CC5EB63"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E43D6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15.3 Risicobeheer van leveranciers</w:t>
            </w:r>
          </w:p>
        </w:tc>
        <w:tc>
          <w:tcPr>
            <w:tcW w:w="312" w:type="dxa"/>
            <w:tcBorders>
              <w:top w:val="single" w:sz="4" w:space="0" w:color="auto"/>
              <w:left w:val="single" w:sz="4" w:space="0" w:color="auto"/>
              <w:bottom w:val="single" w:sz="4" w:space="0" w:color="auto"/>
              <w:right w:val="single" w:sz="4" w:space="0" w:color="auto"/>
            </w:tcBorders>
            <w:vAlign w:val="center"/>
          </w:tcPr>
          <w:p w14:paraId="0214B625"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53</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C6A7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FFFF00"/>
            <w:noWrap/>
            <w:vAlign w:val="center"/>
          </w:tcPr>
          <w:p w14:paraId="5EADBDA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A50F599"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1EEAD131"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3167F9C7"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572E2601"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203C2D6F"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FA7D11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15.4 Interne beheersing bij derden</w:t>
            </w:r>
          </w:p>
        </w:tc>
        <w:tc>
          <w:tcPr>
            <w:tcW w:w="312" w:type="dxa"/>
            <w:tcBorders>
              <w:top w:val="single" w:sz="4" w:space="0" w:color="auto"/>
              <w:left w:val="single" w:sz="4" w:space="0" w:color="auto"/>
              <w:bottom w:val="single" w:sz="8" w:space="0" w:color="auto"/>
              <w:right w:val="single" w:sz="4" w:space="0" w:color="auto"/>
            </w:tcBorders>
            <w:vAlign w:val="center"/>
          </w:tcPr>
          <w:p w14:paraId="240E44EA"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54</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27696C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FFFF00"/>
            <w:noWrap/>
            <w:vAlign w:val="center"/>
          </w:tcPr>
          <w:p w14:paraId="2A824A7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636FCE0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534107F0"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auto"/>
              <w:right w:val="single" w:sz="8" w:space="0" w:color="auto"/>
            </w:tcBorders>
            <w:shd w:val="clear" w:color="auto" w:fill="00B050"/>
            <w:noWrap/>
            <w:vAlign w:val="center"/>
          </w:tcPr>
          <w:p w14:paraId="00DA7103"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63D60FED"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2074CAC2"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T15 MFA - Thuiswerken</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B9343F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11.2 Authenticatiemechanismes</w:t>
            </w:r>
          </w:p>
        </w:tc>
        <w:tc>
          <w:tcPr>
            <w:tcW w:w="312" w:type="dxa"/>
            <w:tcBorders>
              <w:top w:val="single" w:sz="8" w:space="0" w:color="auto"/>
              <w:left w:val="single" w:sz="4" w:space="0" w:color="auto"/>
              <w:bottom w:val="single" w:sz="4" w:space="0" w:color="auto"/>
              <w:right w:val="single" w:sz="4" w:space="0" w:color="auto"/>
            </w:tcBorders>
            <w:vAlign w:val="center"/>
          </w:tcPr>
          <w:p w14:paraId="1BA39CF2"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55</w:t>
            </w:r>
          </w:p>
        </w:tc>
        <w:tc>
          <w:tcPr>
            <w:tcW w:w="1309"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6EC8C28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26DCCF3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000000" w:fill="FFFF00"/>
            <w:noWrap/>
            <w:vAlign w:val="center"/>
          </w:tcPr>
          <w:p w14:paraId="0005BD0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7732A0A4"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nil"/>
              <w:left w:val="single" w:sz="8" w:space="0" w:color="auto"/>
              <w:bottom w:val="single" w:sz="4" w:space="0" w:color="FFFFFF"/>
              <w:right w:val="single" w:sz="8" w:space="0" w:color="auto"/>
            </w:tcBorders>
            <w:shd w:val="clear" w:color="auto" w:fill="C00000"/>
            <w:noWrap/>
            <w:vAlign w:val="center"/>
          </w:tcPr>
          <w:p w14:paraId="6C49BC9F"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20K</w:t>
            </w:r>
          </w:p>
        </w:tc>
      </w:tr>
      <w:tr w:rsidR="00A76C5C" w:rsidRPr="00A76C5C" w14:paraId="07239058"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262DF428"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BFC5C1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11.3 Mobiele apparaten en telewerken</w:t>
            </w:r>
          </w:p>
        </w:tc>
        <w:tc>
          <w:tcPr>
            <w:tcW w:w="312" w:type="dxa"/>
            <w:tcBorders>
              <w:top w:val="single" w:sz="4" w:space="0" w:color="auto"/>
              <w:left w:val="single" w:sz="4" w:space="0" w:color="auto"/>
              <w:bottom w:val="single" w:sz="8" w:space="0" w:color="auto"/>
              <w:right w:val="single" w:sz="4" w:space="0" w:color="auto"/>
            </w:tcBorders>
            <w:vAlign w:val="center"/>
          </w:tcPr>
          <w:p w14:paraId="2B6531ED"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56</w:t>
            </w:r>
          </w:p>
        </w:tc>
        <w:tc>
          <w:tcPr>
            <w:tcW w:w="1309"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64390F9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7C17DA0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3A157938"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64D83847"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55F3DAF3" w14:textId="77777777" w:rsidR="00A76C5C" w:rsidRPr="00A76C5C" w:rsidRDefault="00A76C5C" w:rsidP="00A76C5C">
            <w:pPr>
              <w:contextualSpacing w:val="0"/>
              <w:jc w:val="center"/>
              <w:rPr>
                <w:rFonts w:eastAsia="Times New Roman" w:cs="Calibri"/>
                <w:b/>
                <w:bCs/>
                <w:color w:val="FFFFFF"/>
                <w:sz w:val="16"/>
                <w:szCs w:val="16"/>
                <w:lang w:eastAsia="nl-NL"/>
              </w:rPr>
            </w:pPr>
          </w:p>
        </w:tc>
      </w:tr>
      <w:tr w:rsidR="00A76C5C" w:rsidRPr="00A76C5C" w14:paraId="227F1ED1"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C00000"/>
            <w:noWrap/>
            <w:vAlign w:val="center"/>
          </w:tcPr>
          <w:p w14:paraId="7A65414E"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T16 SOC SIEM</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987362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11.4 Logging</w:t>
            </w:r>
          </w:p>
        </w:tc>
        <w:tc>
          <w:tcPr>
            <w:tcW w:w="312" w:type="dxa"/>
            <w:tcBorders>
              <w:top w:val="single" w:sz="8" w:space="0" w:color="auto"/>
              <w:left w:val="single" w:sz="4" w:space="0" w:color="auto"/>
              <w:bottom w:val="single" w:sz="8" w:space="0" w:color="auto"/>
              <w:right w:val="single" w:sz="4" w:space="0" w:color="auto"/>
            </w:tcBorders>
            <w:vAlign w:val="center"/>
          </w:tcPr>
          <w:p w14:paraId="7335A13A"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57</w:t>
            </w:r>
          </w:p>
        </w:tc>
        <w:tc>
          <w:tcPr>
            <w:tcW w:w="1309"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6B77223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5</w:t>
            </w:r>
          </w:p>
        </w:tc>
        <w:tc>
          <w:tcPr>
            <w:tcW w:w="1309" w:type="dxa"/>
            <w:tcBorders>
              <w:top w:val="single" w:sz="8" w:space="0" w:color="auto"/>
              <w:left w:val="nil"/>
              <w:bottom w:val="single" w:sz="8" w:space="0" w:color="auto"/>
              <w:right w:val="single" w:sz="4" w:space="0" w:color="auto"/>
            </w:tcBorders>
            <w:shd w:val="clear" w:color="auto" w:fill="auto"/>
            <w:noWrap/>
            <w:vAlign w:val="center"/>
          </w:tcPr>
          <w:p w14:paraId="54683A1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8" w:space="0" w:color="auto"/>
              <w:right w:val="single" w:sz="4" w:space="0" w:color="auto"/>
            </w:tcBorders>
            <w:shd w:val="clear" w:color="auto" w:fill="auto"/>
            <w:noWrap/>
            <w:vAlign w:val="center"/>
          </w:tcPr>
          <w:p w14:paraId="3D88B741"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8" w:space="0" w:color="auto"/>
              <w:right w:val="single" w:sz="8" w:space="0" w:color="auto"/>
            </w:tcBorders>
            <w:shd w:val="clear" w:color="auto" w:fill="auto"/>
            <w:noWrap/>
            <w:vAlign w:val="center"/>
          </w:tcPr>
          <w:p w14:paraId="40EB15F9"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15B6D7BD" w14:textId="599B90E8" w:rsidR="00A76C5C" w:rsidRPr="00A76C5C" w:rsidRDefault="00CA7074" w:rsidP="00A76C5C">
            <w:pPr>
              <w:contextualSpacing w:val="0"/>
              <w:jc w:val="center"/>
              <w:rPr>
                <w:rFonts w:eastAsia="Times New Roman" w:cs="Calibri"/>
                <w:b/>
                <w:bCs/>
                <w:color w:val="FFFFFF"/>
                <w:sz w:val="16"/>
                <w:szCs w:val="16"/>
                <w:lang w:eastAsia="nl-NL"/>
              </w:rPr>
            </w:pPr>
            <w:r>
              <w:rPr>
                <w:rFonts w:eastAsia="Times New Roman" w:cs="Calibri"/>
                <w:b/>
                <w:bCs/>
                <w:color w:val="FFFFFF"/>
                <w:sz w:val="16"/>
                <w:szCs w:val="16"/>
                <w:lang w:eastAsia="nl-NL"/>
              </w:rPr>
              <w:t>4</w:t>
            </w:r>
            <w:r w:rsidR="00A76C5C" w:rsidRPr="00A76C5C">
              <w:rPr>
                <w:rFonts w:eastAsia="Times New Roman" w:cs="Calibri"/>
                <w:b/>
                <w:bCs/>
                <w:color w:val="FFFFFF"/>
                <w:sz w:val="16"/>
                <w:szCs w:val="16"/>
                <w:lang w:eastAsia="nl-NL"/>
              </w:rPr>
              <w:t>0K</w:t>
            </w:r>
          </w:p>
        </w:tc>
      </w:tr>
      <w:tr w:rsidR="00A76C5C" w:rsidRPr="00A76C5C" w14:paraId="0EA3C462"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C00000"/>
            <w:noWrap/>
            <w:vAlign w:val="center"/>
          </w:tcPr>
          <w:p w14:paraId="01CDF166"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T17 Pentesten</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B295B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11.5 Testen van, inspectie van en toezicht op beveiliging</w:t>
            </w:r>
          </w:p>
        </w:tc>
        <w:tc>
          <w:tcPr>
            <w:tcW w:w="312" w:type="dxa"/>
            <w:tcBorders>
              <w:top w:val="single" w:sz="8" w:space="0" w:color="auto"/>
              <w:left w:val="single" w:sz="4" w:space="0" w:color="auto"/>
              <w:bottom w:val="single" w:sz="8" w:space="0" w:color="auto"/>
              <w:right w:val="single" w:sz="4" w:space="0" w:color="auto"/>
            </w:tcBorders>
            <w:vAlign w:val="center"/>
          </w:tcPr>
          <w:p w14:paraId="62278300"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58</w:t>
            </w:r>
          </w:p>
        </w:tc>
        <w:tc>
          <w:tcPr>
            <w:tcW w:w="1309"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20D973D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8" w:space="0" w:color="auto"/>
              <w:right w:val="single" w:sz="4" w:space="0" w:color="auto"/>
            </w:tcBorders>
            <w:shd w:val="clear" w:color="auto" w:fill="auto"/>
            <w:noWrap/>
            <w:vAlign w:val="center"/>
          </w:tcPr>
          <w:p w14:paraId="513DB49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8" w:space="0" w:color="auto"/>
              <w:right w:val="single" w:sz="4" w:space="0" w:color="auto"/>
            </w:tcBorders>
            <w:shd w:val="clear" w:color="auto" w:fill="auto"/>
            <w:noWrap/>
            <w:vAlign w:val="center"/>
          </w:tcPr>
          <w:p w14:paraId="47466C4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8" w:space="0" w:color="auto"/>
              <w:right w:val="single" w:sz="8" w:space="0" w:color="auto"/>
            </w:tcBorders>
            <w:shd w:val="clear" w:color="auto" w:fill="auto"/>
            <w:noWrap/>
            <w:vAlign w:val="center"/>
          </w:tcPr>
          <w:p w14:paraId="73B5EFE8"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25C195FD" w14:textId="346508FB" w:rsidR="00A76C5C" w:rsidRPr="00A76C5C" w:rsidRDefault="00CA7074" w:rsidP="00A76C5C">
            <w:pPr>
              <w:contextualSpacing w:val="0"/>
              <w:jc w:val="center"/>
              <w:rPr>
                <w:rFonts w:eastAsia="Times New Roman" w:cs="Calibri"/>
                <w:b/>
                <w:bCs/>
                <w:color w:val="FFFFFF"/>
                <w:sz w:val="16"/>
                <w:szCs w:val="16"/>
                <w:lang w:eastAsia="nl-NL"/>
              </w:rPr>
            </w:pPr>
            <w:r>
              <w:rPr>
                <w:rFonts w:eastAsia="Times New Roman" w:cs="Calibri"/>
                <w:b/>
                <w:bCs/>
                <w:color w:val="FFFFFF"/>
                <w:sz w:val="16"/>
                <w:szCs w:val="16"/>
                <w:lang w:eastAsia="nl-NL"/>
              </w:rPr>
              <w:t>2</w:t>
            </w:r>
            <w:r w:rsidR="00A76C5C" w:rsidRPr="00A76C5C">
              <w:rPr>
                <w:rFonts w:eastAsia="Times New Roman" w:cs="Calibri"/>
                <w:b/>
                <w:bCs/>
                <w:color w:val="FFFFFF"/>
                <w:sz w:val="16"/>
                <w:szCs w:val="16"/>
                <w:lang w:eastAsia="nl-NL"/>
              </w:rPr>
              <w:t>0K</w:t>
            </w:r>
          </w:p>
        </w:tc>
      </w:tr>
      <w:tr w:rsidR="00A76C5C" w:rsidRPr="00A76C5C" w14:paraId="454DF90C"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3BB1A34B"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T18 Patchbeheer</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8D236D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11.6 Patchbeheer</w:t>
            </w:r>
          </w:p>
        </w:tc>
        <w:tc>
          <w:tcPr>
            <w:tcW w:w="312" w:type="dxa"/>
            <w:tcBorders>
              <w:top w:val="single" w:sz="8" w:space="0" w:color="auto"/>
              <w:left w:val="single" w:sz="4" w:space="0" w:color="auto"/>
              <w:bottom w:val="single" w:sz="4" w:space="0" w:color="auto"/>
              <w:right w:val="single" w:sz="4" w:space="0" w:color="auto"/>
            </w:tcBorders>
            <w:vAlign w:val="center"/>
          </w:tcPr>
          <w:p w14:paraId="238F5BC2"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59</w:t>
            </w:r>
          </w:p>
        </w:tc>
        <w:tc>
          <w:tcPr>
            <w:tcW w:w="1309"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4DBFE00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5502D32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686C1C4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16856261"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161BD884" w14:textId="2D003293" w:rsidR="00A76C5C" w:rsidRPr="00A76C5C" w:rsidRDefault="00CA7074" w:rsidP="00A76C5C">
            <w:pPr>
              <w:contextualSpacing w:val="0"/>
              <w:jc w:val="center"/>
              <w:rPr>
                <w:rFonts w:eastAsia="Times New Roman" w:cs="Calibri"/>
                <w:b/>
                <w:bCs/>
                <w:color w:val="FFFFFF"/>
                <w:sz w:val="16"/>
                <w:szCs w:val="16"/>
                <w:lang w:eastAsia="nl-NL"/>
              </w:rPr>
            </w:pPr>
            <w:r>
              <w:rPr>
                <w:rFonts w:eastAsia="Times New Roman" w:cs="Calibri"/>
                <w:b/>
                <w:bCs/>
                <w:color w:val="FFFFFF"/>
                <w:sz w:val="16"/>
                <w:szCs w:val="16"/>
                <w:lang w:eastAsia="nl-NL"/>
              </w:rPr>
              <w:t>2</w:t>
            </w:r>
            <w:r w:rsidR="00A76C5C" w:rsidRPr="00A76C5C">
              <w:rPr>
                <w:rFonts w:eastAsia="Times New Roman" w:cs="Calibri"/>
                <w:b/>
                <w:bCs/>
                <w:color w:val="FFFFFF"/>
                <w:sz w:val="16"/>
                <w:szCs w:val="16"/>
                <w:lang w:eastAsia="nl-NL"/>
              </w:rPr>
              <w:t>0K</w:t>
            </w:r>
          </w:p>
        </w:tc>
      </w:tr>
      <w:tr w:rsidR="00A76C5C" w:rsidRPr="00A76C5C" w14:paraId="58A2B93E"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5B582AEF"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073EA0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11.7 Beheer van bedreigingen en kwetsbaarheden</w:t>
            </w:r>
          </w:p>
        </w:tc>
        <w:tc>
          <w:tcPr>
            <w:tcW w:w="312" w:type="dxa"/>
            <w:tcBorders>
              <w:top w:val="single" w:sz="4" w:space="0" w:color="auto"/>
              <w:left w:val="single" w:sz="4" w:space="0" w:color="auto"/>
              <w:bottom w:val="single" w:sz="8" w:space="0" w:color="auto"/>
              <w:right w:val="single" w:sz="4" w:space="0" w:color="auto"/>
            </w:tcBorders>
            <w:vAlign w:val="center"/>
          </w:tcPr>
          <w:p w14:paraId="59E66BF4"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60</w:t>
            </w:r>
          </w:p>
        </w:tc>
        <w:tc>
          <w:tcPr>
            <w:tcW w:w="1309"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77C8662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5E04B3D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757379A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6A0EA088"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FFFFFF"/>
              <w:left w:val="single" w:sz="8" w:space="0" w:color="auto"/>
              <w:bottom w:val="single" w:sz="4" w:space="0" w:color="auto"/>
              <w:right w:val="single" w:sz="8" w:space="0" w:color="auto"/>
            </w:tcBorders>
            <w:shd w:val="clear" w:color="auto" w:fill="C00000"/>
            <w:noWrap/>
            <w:vAlign w:val="center"/>
          </w:tcPr>
          <w:p w14:paraId="4E316955" w14:textId="77777777" w:rsidR="00A76C5C" w:rsidRPr="00A76C5C" w:rsidRDefault="00A76C5C" w:rsidP="00A76C5C">
            <w:pPr>
              <w:contextualSpacing w:val="0"/>
              <w:jc w:val="center"/>
              <w:rPr>
                <w:rFonts w:eastAsia="Times New Roman" w:cs="Calibri"/>
                <w:b/>
                <w:bCs/>
                <w:color w:val="FFFFFF"/>
                <w:sz w:val="16"/>
                <w:szCs w:val="16"/>
                <w:lang w:eastAsia="nl-NL"/>
              </w:rPr>
            </w:pPr>
          </w:p>
        </w:tc>
      </w:tr>
      <w:tr w:rsidR="00A76C5C" w:rsidRPr="00A76C5C" w14:paraId="0AE9D008"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75A977C8"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T19 Infrastructuur</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16521F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11.8 Beschikbaarheid en bescherming van infrastructuur</w:t>
            </w:r>
          </w:p>
        </w:tc>
        <w:tc>
          <w:tcPr>
            <w:tcW w:w="312" w:type="dxa"/>
            <w:tcBorders>
              <w:top w:val="single" w:sz="8" w:space="0" w:color="auto"/>
              <w:left w:val="single" w:sz="4" w:space="0" w:color="auto"/>
              <w:bottom w:val="single" w:sz="4" w:space="0" w:color="auto"/>
              <w:right w:val="single" w:sz="4" w:space="0" w:color="auto"/>
            </w:tcBorders>
            <w:vAlign w:val="center"/>
          </w:tcPr>
          <w:p w14:paraId="1FD44F81"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61</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EFAD4B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67C049E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56E1544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1D6A8F38"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051B02"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41FD2A4C"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46DE6E24"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E342D7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11.9 Onderhoud van de infrastructuur</w:t>
            </w:r>
          </w:p>
        </w:tc>
        <w:tc>
          <w:tcPr>
            <w:tcW w:w="312" w:type="dxa"/>
            <w:tcBorders>
              <w:top w:val="single" w:sz="4" w:space="0" w:color="auto"/>
              <w:left w:val="single" w:sz="4" w:space="0" w:color="auto"/>
              <w:bottom w:val="single" w:sz="8" w:space="0" w:color="auto"/>
              <w:right w:val="single" w:sz="4" w:space="0" w:color="auto"/>
            </w:tcBorders>
            <w:vAlign w:val="center"/>
          </w:tcPr>
          <w:p w14:paraId="12C259D9"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62</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4FDA536"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51B7D81E"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14EAC60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0DBBA6D4"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FBD3E7"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1657090"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284C764F"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T20 Security Policy</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863803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11.10 Beheer van cryptografische sleutels</w:t>
            </w:r>
          </w:p>
        </w:tc>
        <w:tc>
          <w:tcPr>
            <w:tcW w:w="312" w:type="dxa"/>
            <w:tcBorders>
              <w:top w:val="single" w:sz="8" w:space="0" w:color="auto"/>
              <w:left w:val="single" w:sz="4" w:space="0" w:color="auto"/>
              <w:bottom w:val="single" w:sz="4" w:space="0" w:color="auto"/>
              <w:right w:val="single" w:sz="4" w:space="0" w:color="auto"/>
            </w:tcBorders>
            <w:vAlign w:val="center"/>
          </w:tcPr>
          <w:p w14:paraId="3C3B0E82"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63</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0A8581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1548FD92"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2C3483E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75B457A1"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92B639"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1E6B228" w14:textId="77777777" w:rsidTr="00751390">
        <w:trPr>
          <w:trHeight w:val="250"/>
        </w:trPr>
        <w:tc>
          <w:tcPr>
            <w:tcW w:w="2253" w:type="dxa"/>
            <w:vMerge/>
            <w:tcBorders>
              <w:left w:val="single" w:sz="8" w:space="0" w:color="auto"/>
              <w:right w:val="single" w:sz="8" w:space="0" w:color="auto"/>
            </w:tcBorders>
            <w:shd w:val="clear" w:color="auto" w:fill="C00000"/>
            <w:noWrap/>
            <w:vAlign w:val="center"/>
          </w:tcPr>
          <w:p w14:paraId="5B9C2591"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5A2331"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11.11 Network security</w:t>
            </w:r>
          </w:p>
        </w:tc>
        <w:tc>
          <w:tcPr>
            <w:tcW w:w="312" w:type="dxa"/>
            <w:tcBorders>
              <w:top w:val="single" w:sz="4" w:space="0" w:color="auto"/>
              <w:left w:val="single" w:sz="4" w:space="0" w:color="auto"/>
              <w:bottom w:val="single" w:sz="4" w:space="0" w:color="auto"/>
              <w:right w:val="single" w:sz="4" w:space="0" w:color="auto"/>
            </w:tcBorders>
            <w:vAlign w:val="center"/>
          </w:tcPr>
          <w:p w14:paraId="6D04B769"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223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216878C"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55AF17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4CEDE90C"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125F81"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39852299" w14:textId="77777777" w:rsidTr="00751390">
        <w:trPr>
          <w:trHeight w:val="250"/>
        </w:trPr>
        <w:tc>
          <w:tcPr>
            <w:tcW w:w="2253" w:type="dxa"/>
            <w:vMerge/>
            <w:tcBorders>
              <w:left w:val="single" w:sz="8" w:space="0" w:color="auto"/>
              <w:right w:val="single" w:sz="8" w:space="0" w:color="auto"/>
            </w:tcBorders>
            <w:shd w:val="clear" w:color="auto" w:fill="C00000"/>
            <w:noWrap/>
            <w:vAlign w:val="center"/>
          </w:tcPr>
          <w:p w14:paraId="0A4D574A"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1A728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11.12 Beheersing van malware-aanvallen</w:t>
            </w:r>
          </w:p>
        </w:tc>
        <w:tc>
          <w:tcPr>
            <w:tcW w:w="312" w:type="dxa"/>
            <w:tcBorders>
              <w:top w:val="single" w:sz="4" w:space="0" w:color="auto"/>
              <w:left w:val="single" w:sz="4" w:space="0" w:color="auto"/>
              <w:bottom w:val="single" w:sz="4" w:space="0" w:color="auto"/>
              <w:right w:val="single" w:sz="4" w:space="0" w:color="auto"/>
            </w:tcBorders>
            <w:vAlign w:val="center"/>
          </w:tcPr>
          <w:p w14:paraId="15A94C54"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65</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1F727"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9D3555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B7D604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43E2E7FF"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EAECA3"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CFF3A71"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438D2B50" w14:textId="77777777" w:rsidR="00A76C5C" w:rsidRPr="00A76C5C" w:rsidRDefault="00A76C5C" w:rsidP="00A76C5C">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9C36CD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11.13 Bescherming van beveiligingstechnologie</w:t>
            </w:r>
          </w:p>
        </w:tc>
        <w:tc>
          <w:tcPr>
            <w:tcW w:w="312" w:type="dxa"/>
            <w:tcBorders>
              <w:top w:val="single" w:sz="4" w:space="0" w:color="auto"/>
              <w:left w:val="single" w:sz="4" w:space="0" w:color="auto"/>
              <w:bottom w:val="single" w:sz="4" w:space="0" w:color="auto"/>
              <w:right w:val="single" w:sz="4" w:space="0" w:color="auto"/>
            </w:tcBorders>
            <w:vAlign w:val="center"/>
          </w:tcPr>
          <w:p w14:paraId="7933203C"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66</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689D7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7D6E1893"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03B1B5A5"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53922054"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EF28DC"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7FD6122A"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0671D593"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T21 Computer Operations</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81B17A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13.1 Job processing</w:t>
            </w:r>
          </w:p>
        </w:tc>
        <w:tc>
          <w:tcPr>
            <w:tcW w:w="312" w:type="dxa"/>
            <w:tcBorders>
              <w:top w:val="single" w:sz="8" w:space="0" w:color="auto"/>
              <w:left w:val="single" w:sz="4" w:space="0" w:color="auto"/>
              <w:bottom w:val="single" w:sz="4" w:space="0" w:color="auto"/>
              <w:right w:val="single" w:sz="4" w:space="0" w:color="auto"/>
            </w:tcBorders>
            <w:vAlign w:val="center"/>
          </w:tcPr>
          <w:p w14:paraId="22685FA8"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67</w:t>
            </w:r>
          </w:p>
        </w:tc>
        <w:tc>
          <w:tcPr>
            <w:tcW w:w="1309"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192A63A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4" w:space="0" w:color="auto"/>
              <w:right w:val="single" w:sz="4" w:space="0" w:color="auto"/>
            </w:tcBorders>
            <w:shd w:val="clear" w:color="000000" w:fill="FFFF00"/>
            <w:noWrap/>
            <w:vAlign w:val="center"/>
          </w:tcPr>
          <w:p w14:paraId="0A3E03A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1309" w:type="dxa"/>
            <w:tcBorders>
              <w:top w:val="single" w:sz="8" w:space="0" w:color="auto"/>
              <w:left w:val="nil"/>
              <w:bottom w:val="single" w:sz="4" w:space="0" w:color="auto"/>
              <w:right w:val="single" w:sz="4" w:space="0" w:color="auto"/>
            </w:tcBorders>
            <w:shd w:val="clear" w:color="auto" w:fill="auto"/>
            <w:noWrap/>
            <w:vAlign w:val="center"/>
          </w:tcPr>
          <w:p w14:paraId="081E7BBB"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8" w:space="0" w:color="auto"/>
              <w:left w:val="nil"/>
              <w:bottom w:val="single" w:sz="4" w:space="0" w:color="auto"/>
              <w:right w:val="single" w:sz="8" w:space="0" w:color="auto"/>
            </w:tcBorders>
            <w:shd w:val="clear" w:color="auto" w:fill="auto"/>
            <w:noWrap/>
            <w:vAlign w:val="center"/>
          </w:tcPr>
          <w:p w14:paraId="147D5D8C"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C00000"/>
            <w:noWrap/>
            <w:vAlign w:val="center"/>
          </w:tcPr>
          <w:p w14:paraId="287A8892"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0E668373" w14:textId="77777777" w:rsidTr="00751390">
        <w:trPr>
          <w:trHeight w:val="250"/>
        </w:trPr>
        <w:tc>
          <w:tcPr>
            <w:tcW w:w="2253" w:type="dxa"/>
            <w:vMerge/>
            <w:tcBorders>
              <w:left w:val="single" w:sz="8" w:space="0" w:color="auto"/>
              <w:right w:val="single" w:sz="8" w:space="0" w:color="auto"/>
            </w:tcBorders>
            <w:shd w:val="clear" w:color="auto" w:fill="C00000"/>
            <w:noWrap/>
            <w:vAlign w:val="center"/>
          </w:tcPr>
          <w:p w14:paraId="5283E040"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3ECEF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13.2 Procedures voor back-up en herstel</w:t>
            </w:r>
          </w:p>
        </w:tc>
        <w:tc>
          <w:tcPr>
            <w:tcW w:w="312" w:type="dxa"/>
            <w:tcBorders>
              <w:top w:val="single" w:sz="4" w:space="0" w:color="auto"/>
              <w:left w:val="single" w:sz="4" w:space="0" w:color="auto"/>
              <w:bottom w:val="single" w:sz="4" w:space="0" w:color="auto"/>
              <w:right w:val="single" w:sz="4" w:space="0" w:color="auto"/>
            </w:tcBorders>
            <w:vAlign w:val="center"/>
          </w:tcPr>
          <w:p w14:paraId="0C97B4A7"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68</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1DF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05D835F"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E85B52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4" w:space="0" w:color="auto"/>
              <w:right w:val="single" w:sz="8" w:space="0" w:color="auto"/>
            </w:tcBorders>
            <w:shd w:val="clear" w:color="auto" w:fill="auto"/>
            <w:noWrap/>
            <w:vAlign w:val="center"/>
          </w:tcPr>
          <w:p w14:paraId="4A8319EB"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861F2B"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446FDA9C" w14:textId="77777777" w:rsidTr="00751390">
        <w:trPr>
          <w:trHeight w:val="250"/>
        </w:trPr>
        <w:tc>
          <w:tcPr>
            <w:tcW w:w="2253" w:type="dxa"/>
            <w:vMerge/>
            <w:tcBorders>
              <w:left w:val="single" w:sz="8" w:space="0" w:color="auto"/>
              <w:bottom w:val="single" w:sz="4" w:space="0" w:color="auto"/>
              <w:right w:val="single" w:sz="8" w:space="0" w:color="auto"/>
            </w:tcBorders>
            <w:shd w:val="clear" w:color="auto" w:fill="C00000"/>
            <w:noWrap/>
            <w:vAlign w:val="center"/>
          </w:tcPr>
          <w:p w14:paraId="0DCD898E"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122B79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13.3 Capaciteits- en prestatiebeheer</w:t>
            </w:r>
          </w:p>
        </w:tc>
        <w:tc>
          <w:tcPr>
            <w:tcW w:w="312" w:type="dxa"/>
            <w:tcBorders>
              <w:top w:val="single" w:sz="4" w:space="0" w:color="auto"/>
              <w:left w:val="single" w:sz="4" w:space="0" w:color="auto"/>
              <w:bottom w:val="single" w:sz="8" w:space="0" w:color="auto"/>
              <w:right w:val="single" w:sz="4" w:space="0" w:color="auto"/>
            </w:tcBorders>
            <w:vAlign w:val="center"/>
          </w:tcPr>
          <w:p w14:paraId="4BEA2619"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69</w:t>
            </w:r>
          </w:p>
        </w:tc>
        <w:tc>
          <w:tcPr>
            <w:tcW w:w="13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0C46BCA"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3A681500"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4" w:space="0" w:color="auto"/>
            </w:tcBorders>
            <w:shd w:val="clear" w:color="auto" w:fill="auto"/>
            <w:noWrap/>
            <w:vAlign w:val="center"/>
          </w:tcPr>
          <w:p w14:paraId="45FA7B24" w14:textId="77777777" w:rsidR="00A76C5C" w:rsidRPr="00A76C5C" w:rsidRDefault="00A76C5C" w:rsidP="00A76C5C">
            <w:pPr>
              <w:contextualSpacing w:val="0"/>
              <w:jc w:val="center"/>
              <w:rPr>
                <w:rFonts w:eastAsia="Times New Roman" w:cs="Calibri"/>
                <w:b/>
                <w:bCs/>
                <w:sz w:val="16"/>
                <w:szCs w:val="16"/>
                <w:lang w:eastAsia="nl-NL"/>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14:paraId="3552DB43" w14:textId="77777777" w:rsidR="00A76C5C" w:rsidRPr="00A76C5C" w:rsidRDefault="00A76C5C" w:rsidP="00A76C5C">
            <w:pPr>
              <w:contextualSpacing w:val="0"/>
              <w:jc w:val="center"/>
              <w:rPr>
                <w:rFonts w:eastAsia="Times New Roman" w:cs="Calibri"/>
                <w:b/>
                <w:bCs/>
                <w:sz w:val="16"/>
                <w:szCs w:val="16"/>
                <w:lang w:eastAsia="nl-NL"/>
              </w:rPr>
            </w:pPr>
          </w:p>
        </w:tc>
        <w:tc>
          <w:tcPr>
            <w:tcW w:w="9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6B2623F" w14:textId="77777777" w:rsidR="00A76C5C" w:rsidRPr="00A76C5C" w:rsidRDefault="00A76C5C" w:rsidP="00A76C5C">
            <w:pPr>
              <w:contextualSpacing w:val="0"/>
              <w:jc w:val="center"/>
              <w:rPr>
                <w:rFonts w:eastAsia="Times New Roman" w:cs="Calibri"/>
                <w:color w:val="000000"/>
                <w:sz w:val="16"/>
                <w:szCs w:val="16"/>
                <w:lang w:eastAsia="nl-NL"/>
              </w:rPr>
            </w:pPr>
          </w:p>
        </w:tc>
      </w:tr>
      <w:tr w:rsidR="00A76C5C" w:rsidRPr="00A76C5C" w14:paraId="12B8FA13" w14:textId="77777777" w:rsidTr="00751390">
        <w:trPr>
          <w:trHeight w:val="250"/>
        </w:trPr>
        <w:tc>
          <w:tcPr>
            <w:tcW w:w="225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22276B4" w14:textId="77777777" w:rsidR="00A76C5C" w:rsidRPr="00A76C5C" w:rsidRDefault="00A76C5C" w:rsidP="00A76C5C">
            <w:pPr>
              <w:contextualSpacing w:val="0"/>
              <w:rPr>
                <w:rFonts w:eastAsia="Times New Roman" w:cs="Calibri"/>
                <w:color w:val="000000"/>
                <w:sz w:val="14"/>
                <w:szCs w:val="14"/>
                <w:lang w:eastAsia="nl-NL"/>
              </w:rPr>
            </w:pPr>
          </w:p>
        </w:tc>
        <w:tc>
          <w:tcPr>
            <w:tcW w:w="509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F309DAC" w14:textId="77777777" w:rsidR="00A76C5C" w:rsidRPr="00A76C5C" w:rsidRDefault="00A76C5C" w:rsidP="00A76C5C">
            <w:pPr>
              <w:contextualSpacing w:val="0"/>
              <w:rPr>
                <w:rFonts w:eastAsia="Times New Roman" w:cs="Calibri"/>
                <w:color w:val="000000"/>
                <w:sz w:val="32"/>
                <w:szCs w:val="32"/>
                <w:lang w:eastAsia="nl-NL"/>
              </w:rPr>
            </w:pPr>
            <w:r w:rsidRPr="00A76C5C">
              <w:rPr>
                <w:rFonts w:eastAsia="Times New Roman" w:cs="Calibri"/>
                <w:b/>
                <w:bCs/>
                <w:color w:val="000000"/>
                <w:sz w:val="32"/>
                <w:szCs w:val="32"/>
                <w:lang w:eastAsia="nl-NL"/>
              </w:rPr>
              <w:t>Gegeven risicoscore (Netto score)</w:t>
            </w:r>
          </w:p>
        </w:tc>
        <w:tc>
          <w:tcPr>
            <w:tcW w:w="312" w:type="dxa"/>
            <w:tcBorders>
              <w:top w:val="single" w:sz="8" w:space="0" w:color="auto"/>
              <w:left w:val="single" w:sz="4" w:space="0" w:color="auto"/>
              <w:bottom w:val="single" w:sz="8" w:space="0" w:color="auto"/>
              <w:right w:val="nil"/>
            </w:tcBorders>
            <w:vAlign w:val="center"/>
          </w:tcPr>
          <w:p w14:paraId="171DB7DD" w14:textId="77777777" w:rsidR="00A76C5C" w:rsidRPr="00A76C5C" w:rsidRDefault="00A76C5C" w:rsidP="00A76C5C">
            <w:pPr>
              <w:contextualSpacing w:val="0"/>
              <w:rPr>
                <w:rFonts w:eastAsia="Times New Roman" w:cs="Calibri"/>
                <w:b/>
                <w:bCs/>
                <w:sz w:val="14"/>
                <w:szCs w:val="14"/>
                <w:lang w:eastAsia="nl-NL"/>
              </w:rPr>
            </w:pPr>
          </w:p>
        </w:tc>
        <w:tc>
          <w:tcPr>
            <w:tcW w:w="1309" w:type="dxa"/>
            <w:tcBorders>
              <w:top w:val="single" w:sz="8" w:space="0" w:color="auto"/>
              <w:left w:val="single" w:sz="4" w:space="0" w:color="auto"/>
              <w:bottom w:val="single" w:sz="8" w:space="0" w:color="auto"/>
              <w:right w:val="single" w:sz="4" w:space="0" w:color="auto"/>
            </w:tcBorders>
            <w:shd w:val="clear" w:color="auto" w:fill="00B0F0"/>
            <w:noWrap/>
            <w:vAlign w:val="center"/>
          </w:tcPr>
          <w:p w14:paraId="6A234DBC" w14:textId="77777777" w:rsidR="00A76C5C" w:rsidRPr="00A76C5C" w:rsidRDefault="00A76C5C" w:rsidP="00A76C5C">
            <w:pPr>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R2</w:t>
            </w:r>
          </w:p>
          <w:p w14:paraId="676A04D4" w14:textId="77777777" w:rsidR="00A76C5C" w:rsidRPr="00A76C5C" w:rsidRDefault="00A76C5C" w:rsidP="00A76C5C">
            <w:pPr>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Ransomware</w:t>
            </w:r>
          </w:p>
        </w:tc>
        <w:tc>
          <w:tcPr>
            <w:tcW w:w="1309" w:type="dxa"/>
            <w:tcBorders>
              <w:top w:val="single" w:sz="8" w:space="0" w:color="auto"/>
              <w:left w:val="single" w:sz="4" w:space="0" w:color="auto"/>
              <w:bottom w:val="single" w:sz="8" w:space="0" w:color="auto"/>
              <w:right w:val="single" w:sz="4" w:space="0" w:color="auto"/>
            </w:tcBorders>
            <w:shd w:val="clear" w:color="auto" w:fill="00B0F0"/>
            <w:noWrap/>
            <w:vAlign w:val="center"/>
          </w:tcPr>
          <w:p w14:paraId="6948298E" w14:textId="77777777" w:rsidR="00A76C5C" w:rsidRPr="00A76C5C" w:rsidRDefault="00A76C5C" w:rsidP="00A76C5C">
            <w:pPr>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R3</w:t>
            </w:r>
          </w:p>
          <w:p w14:paraId="106F260C" w14:textId="77777777" w:rsidR="00A76C5C" w:rsidRPr="00A76C5C" w:rsidRDefault="00A76C5C" w:rsidP="00A76C5C">
            <w:pPr>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Cloud</w:t>
            </w:r>
          </w:p>
        </w:tc>
        <w:tc>
          <w:tcPr>
            <w:tcW w:w="1309" w:type="dxa"/>
            <w:tcBorders>
              <w:top w:val="single" w:sz="8" w:space="0" w:color="auto"/>
              <w:left w:val="single" w:sz="4" w:space="0" w:color="auto"/>
              <w:bottom w:val="single" w:sz="8" w:space="0" w:color="auto"/>
              <w:right w:val="single" w:sz="4" w:space="0" w:color="auto"/>
            </w:tcBorders>
            <w:shd w:val="clear" w:color="auto" w:fill="00B0F0"/>
            <w:noWrap/>
            <w:vAlign w:val="center"/>
          </w:tcPr>
          <w:p w14:paraId="13135EB2" w14:textId="77777777" w:rsidR="00A76C5C" w:rsidRPr="00A76C5C" w:rsidRDefault="00A76C5C" w:rsidP="00A76C5C">
            <w:pPr>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R4</w:t>
            </w:r>
          </w:p>
          <w:p w14:paraId="69249F50" w14:textId="77777777" w:rsidR="00A76C5C" w:rsidRPr="00A76C5C" w:rsidRDefault="00A76C5C" w:rsidP="00A76C5C">
            <w:pPr>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Identiteitsfraude</w:t>
            </w:r>
          </w:p>
        </w:tc>
        <w:tc>
          <w:tcPr>
            <w:tcW w:w="1309" w:type="dxa"/>
            <w:tcBorders>
              <w:top w:val="single" w:sz="8" w:space="0" w:color="auto"/>
              <w:left w:val="single" w:sz="4" w:space="0" w:color="auto"/>
              <w:bottom w:val="single" w:sz="8" w:space="0" w:color="auto"/>
              <w:right w:val="single" w:sz="4" w:space="0" w:color="auto"/>
            </w:tcBorders>
            <w:shd w:val="clear" w:color="auto" w:fill="00B0F0"/>
            <w:noWrap/>
            <w:vAlign w:val="center"/>
          </w:tcPr>
          <w:p w14:paraId="3D00B94C" w14:textId="77777777" w:rsidR="00A76C5C" w:rsidRPr="00A76C5C" w:rsidRDefault="00A76C5C" w:rsidP="00A76C5C">
            <w:pPr>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R5</w:t>
            </w:r>
          </w:p>
          <w:p w14:paraId="5FD16E67" w14:textId="77777777" w:rsidR="00A76C5C" w:rsidRPr="00A76C5C" w:rsidRDefault="00A76C5C" w:rsidP="00A76C5C">
            <w:pPr>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Bewaartermijnen</w:t>
            </w: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00853E70" w14:textId="77777777" w:rsidR="00A76C5C" w:rsidRPr="00A76C5C" w:rsidRDefault="00A76C5C" w:rsidP="00A76C5C">
            <w:pPr>
              <w:contextualSpacing w:val="0"/>
              <w:jc w:val="center"/>
              <w:rPr>
                <w:rFonts w:eastAsia="Times New Roman" w:cs="Calibri"/>
                <w:color w:val="000000"/>
                <w:sz w:val="14"/>
                <w:szCs w:val="14"/>
                <w:lang w:eastAsia="nl-NL"/>
              </w:rPr>
            </w:pPr>
          </w:p>
        </w:tc>
      </w:tr>
    </w:tbl>
    <w:p w14:paraId="5D5E64E6" w14:textId="77777777" w:rsidR="00A76C5C" w:rsidRPr="00A76C5C" w:rsidRDefault="00A76C5C" w:rsidP="00A76C5C">
      <w:pPr>
        <w:spacing w:line="259" w:lineRule="auto"/>
        <w:contextualSpacing w:val="0"/>
        <w:rPr>
          <w:szCs w:val="22"/>
        </w:rPr>
      </w:pPr>
    </w:p>
    <w:bookmarkEnd w:id="31"/>
    <w:p w14:paraId="0951A12A" w14:textId="77777777" w:rsidR="00A76C5C" w:rsidRPr="00A76C5C" w:rsidRDefault="00A76C5C" w:rsidP="00A76C5C">
      <w:pPr>
        <w:spacing w:after="160" w:line="259" w:lineRule="auto"/>
        <w:contextualSpacing w:val="0"/>
        <w:rPr>
          <w:szCs w:val="22"/>
        </w:rPr>
      </w:pPr>
      <w:r w:rsidRPr="00A76C5C">
        <w:rPr>
          <w:szCs w:val="22"/>
        </w:rPr>
        <w:br w:type="page"/>
      </w:r>
    </w:p>
    <w:p w14:paraId="1BA07CB6" w14:textId="16C4036B" w:rsidR="00A76C5C" w:rsidRPr="00A76C5C" w:rsidRDefault="001167D0" w:rsidP="001167D0">
      <w:pPr>
        <w:pStyle w:val="Kop1"/>
        <w:numPr>
          <w:ilvl w:val="0"/>
          <w:numId w:val="0"/>
        </w:numPr>
        <w:ind w:left="624" w:hanging="624"/>
        <w:rPr>
          <w:rFonts w:eastAsia="Times New Roman"/>
        </w:rPr>
      </w:pPr>
      <w:bookmarkStart w:id="33" w:name="_Toc119927036"/>
      <w:bookmarkStart w:id="34" w:name="_Toc144896484"/>
      <w:r>
        <w:rPr>
          <w:rFonts w:eastAsia="Times New Roman"/>
        </w:rPr>
        <w:lastRenderedPageBreak/>
        <w:t xml:space="preserve">Bijlage 2: </w:t>
      </w:r>
      <w:r w:rsidR="00A76C5C" w:rsidRPr="00A76C5C">
        <w:rPr>
          <w:rFonts w:eastAsia="Times New Roman"/>
        </w:rPr>
        <w:t xml:space="preserve">Geplotte statements </w:t>
      </w:r>
      <w:bookmarkEnd w:id="33"/>
      <w:r>
        <w:rPr>
          <w:rFonts w:eastAsia="Times New Roman"/>
        </w:rPr>
        <w:t>per cyberdreiging</w:t>
      </w:r>
      <w:bookmarkEnd w:id="34"/>
    </w:p>
    <w:p w14:paraId="25182588" w14:textId="7AC9FB80" w:rsidR="00A76C5C" w:rsidRPr="00A76C5C" w:rsidRDefault="00377E89" w:rsidP="001167D0">
      <w:pPr>
        <w:pStyle w:val="Lijstalinea1"/>
      </w:pPr>
      <w:r>
        <w:t xml:space="preserve">R1 </w:t>
      </w:r>
      <w:r w:rsidR="001167D0">
        <w:t>Governance</w:t>
      </w:r>
    </w:p>
    <w:tbl>
      <w:tblPr>
        <w:tblW w:w="12606" w:type="dxa"/>
        <w:tblLayout w:type="fixed"/>
        <w:tblCellMar>
          <w:left w:w="70" w:type="dxa"/>
          <w:right w:w="70" w:type="dxa"/>
        </w:tblCellMar>
        <w:tblLook w:val="04A0" w:firstRow="1" w:lastRow="0" w:firstColumn="1" w:lastColumn="0" w:noHBand="0" w:noVBand="1"/>
      </w:tblPr>
      <w:tblGrid>
        <w:gridCol w:w="2258"/>
        <w:gridCol w:w="5077"/>
        <w:gridCol w:w="310"/>
        <w:gridCol w:w="567"/>
        <w:gridCol w:w="567"/>
        <w:gridCol w:w="567"/>
        <w:gridCol w:w="567"/>
        <w:gridCol w:w="879"/>
        <w:gridCol w:w="1814"/>
      </w:tblGrid>
      <w:tr w:rsidR="00A76C5C" w:rsidRPr="00A76C5C" w14:paraId="5D3D214A" w14:textId="77777777" w:rsidTr="00A76C5C">
        <w:trPr>
          <w:cantSplit/>
          <w:trHeight w:val="1459"/>
        </w:trPr>
        <w:tc>
          <w:tcPr>
            <w:tcW w:w="2258" w:type="dxa"/>
            <w:tcBorders>
              <w:top w:val="single" w:sz="8" w:space="0" w:color="000000"/>
              <w:left w:val="single" w:sz="8" w:space="0" w:color="000000"/>
              <w:bottom w:val="single" w:sz="4" w:space="0" w:color="000000"/>
              <w:right w:val="single" w:sz="4" w:space="0" w:color="000000"/>
            </w:tcBorders>
            <w:shd w:val="clear" w:color="auto" w:fill="D9D9D9"/>
            <w:noWrap/>
            <w:vAlign w:val="center"/>
            <w:hideMark/>
          </w:tcPr>
          <w:p w14:paraId="704B1FEC" w14:textId="1C9AAC25"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Thema’s</w:t>
            </w:r>
          </w:p>
        </w:tc>
        <w:tc>
          <w:tcPr>
            <w:tcW w:w="5077" w:type="dxa"/>
            <w:tcBorders>
              <w:top w:val="single" w:sz="8" w:space="0" w:color="000000"/>
              <w:left w:val="single" w:sz="4" w:space="0" w:color="000000"/>
              <w:bottom w:val="single" w:sz="8" w:space="0" w:color="000000"/>
              <w:right w:val="single" w:sz="4" w:space="0" w:color="000000"/>
            </w:tcBorders>
            <w:shd w:val="clear" w:color="auto" w:fill="D9D9D9"/>
            <w:noWrap/>
            <w:vAlign w:val="center"/>
            <w:hideMark/>
          </w:tcPr>
          <w:p w14:paraId="0D14958D"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9B9FC9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1F1C19CE"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1416AB5C"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44B8B2C0"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7CAE50C7"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465DEB1D"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1C118517"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672B76C1"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0977BB2F"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9" w:type="dxa"/>
            <w:tcBorders>
              <w:top w:val="single" w:sz="8" w:space="0" w:color="000000"/>
              <w:left w:val="single" w:sz="4" w:space="0" w:color="000000"/>
              <w:bottom w:val="single" w:sz="8" w:space="0" w:color="auto"/>
              <w:right w:val="single" w:sz="8" w:space="0" w:color="000000"/>
            </w:tcBorders>
            <w:shd w:val="clear" w:color="auto" w:fill="auto"/>
            <w:noWrap/>
            <w:vAlign w:val="center"/>
            <w:hideMark/>
          </w:tcPr>
          <w:p w14:paraId="5154B139"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c>
          <w:tcPr>
            <w:tcW w:w="1814" w:type="dxa"/>
            <w:tcBorders>
              <w:top w:val="single" w:sz="8" w:space="0" w:color="000000"/>
              <w:left w:val="single" w:sz="4" w:space="0" w:color="000000"/>
              <w:bottom w:val="single" w:sz="8" w:space="0" w:color="auto"/>
              <w:right w:val="single" w:sz="8" w:space="0" w:color="000000"/>
            </w:tcBorders>
            <w:shd w:val="clear" w:color="auto" w:fill="FFFF00"/>
            <w:vAlign w:val="center"/>
          </w:tcPr>
          <w:p w14:paraId="391FA58F" w14:textId="77777777" w:rsidR="00A76C5C" w:rsidRPr="00A76C5C" w:rsidRDefault="00A76C5C" w:rsidP="00A76C5C">
            <w:pPr>
              <w:contextualSpacing w:val="0"/>
              <w:jc w:val="center"/>
              <w:rPr>
                <w:rFonts w:eastAsia="Times New Roman" w:cs="Calibri"/>
                <w:b/>
                <w:bCs/>
                <w:color w:val="000000"/>
                <w:sz w:val="24"/>
                <w:szCs w:val="24"/>
                <w:lang w:eastAsia="nl-NL"/>
              </w:rPr>
            </w:pPr>
            <w:r w:rsidRPr="00A76C5C">
              <w:rPr>
                <w:rFonts w:eastAsia="Times New Roman" w:cs="Calibri"/>
                <w:b/>
                <w:bCs/>
                <w:color w:val="000000"/>
                <w:sz w:val="24"/>
                <w:szCs w:val="24"/>
                <w:lang w:eastAsia="nl-NL"/>
              </w:rPr>
              <w:t>Proceseigenaar</w:t>
            </w:r>
          </w:p>
          <w:p w14:paraId="0E1F2E3A"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000000"/>
                <w:sz w:val="24"/>
                <w:szCs w:val="24"/>
                <w:lang w:eastAsia="nl-NL"/>
              </w:rPr>
              <w:t>Accountable</w:t>
            </w:r>
          </w:p>
        </w:tc>
      </w:tr>
      <w:tr w:rsidR="00A76C5C" w:rsidRPr="00A76C5C" w14:paraId="78A32019" w14:textId="77777777" w:rsidTr="00A76C5C">
        <w:trPr>
          <w:trHeight w:val="240"/>
        </w:trPr>
        <w:tc>
          <w:tcPr>
            <w:tcW w:w="2258" w:type="dxa"/>
            <w:tcBorders>
              <w:top w:val="single" w:sz="4" w:space="0" w:color="000000"/>
              <w:left w:val="single" w:sz="8" w:space="0" w:color="000000"/>
              <w:bottom w:val="single" w:sz="8" w:space="0" w:color="FFFFFF"/>
              <w:right w:val="single" w:sz="8" w:space="0" w:color="000000"/>
            </w:tcBorders>
            <w:shd w:val="clear" w:color="auto" w:fill="0070C0"/>
            <w:noWrap/>
            <w:vAlign w:val="center"/>
            <w:hideMark/>
          </w:tcPr>
          <w:p w14:paraId="0D32F2E5"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G01 Strategie</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769CFAF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 Strategie</w:t>
            </w:r>
          </w:p>
        </w:tc>
        <w:tc>
          <w:tcPr>
            <w:tcW w:w="310" w:type="dxa"/>
            <w:tcBorders>
              <w:top w:val="single" w:sz="8" w:space="0" w:color="000000"/>
              <w:left w:val="single" w:sz="4" w:space="0" w:color="000000"/>
              <w:bottom w:val="single" w:sz="8" w:space="0" w:color="000000"/>
              <w:right w:val="single" w:sz="4" w:space="0" w:color="000000"/>
            </w:tcBorders>
            <w:vAlign w:val="center"/>
          </w:tcPr>
          <w:p w14:paraId="7F54529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w:t>
            </w:r>
          </w:p>
        </w:tc>
        <w:tc>
          <w:tcPr>
            <w:tcW w:w="567"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60F1065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198D9E0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68F3A17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8" w:space="0" w:color="000000"/>
            </w:tcBorders>
            <w:shd w:val="clear" w:color="000000" w:fill="FFFF00"/>
            <w:noWrap/>
            <w:vAlign w:val="center"/>
            <w:hideMark/>
          </w:tcPr>
          <w:p w14:paraId="6586644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8" w:space="0" w:color="auto"/>
              <w:left w:val="single" w:sz="8" w:space="0" w:color="000000"/>
              <w:bottom w:val="single" w:sz="4" w:space="0" w:color="FFFFFF"/>
              <w:right w:val="single" w:sz="4" w:space="0" w:color="auto"/>
            </w:tcBorders>
            <w:shd w:val="clear" w:color="auto" w:fill="4472C4"/>
            <w:noWrap/>
            <w:vAlign w:val="center"/>
            <w:hideMark/>
          </w:tcPr>
          <w:p w14:paraId="6FC15F37"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8" w:space="0" w:color="auto"/>
              <w:left w:val="single" w:sz="4" w:space="0" w:color="auto"/>
              <w:bottom w:val="single" w:sz="4" w:space="0" w:color="auto"/>
              <w:right w:val="single" w:sz="8" w:space="0" w:color="auto"/>
            </w:tcBorders>
            <w:shd w:val="clear" w:color="auto" w:fill="FFFFFF"/>
            <w:vAlign w:val="center"/>
          </w:tcPr>
          <w:p w14:paraId="686EAB0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College van Bestuur</w:t>
            </w:r>
          </w:p>
        </w:tc>
      </w:tr>
      <w:tr w:rsidR="00A76C5C" w:rsidRPr="00A76C5C" w14:paraId="26BB2E0D"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25135E03"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G02 Beleid</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730A678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1.2 Beleid</w:t>
            </w:r>
          </w:p>
        </w:tc>
        <w:tc>
          <w:tcPr>
            <w:tcW w:w="310" w:type="dxa"/>
            <w:tcBorders>
              <w:top w:val="single" w:sz="8" w:space="0" w:color="000000"/>
              <w:left w:val="single" w:sz="4" w:space="0" w:color="000000"/>
              <w:bottom w:val="single" w:sz="8" w:space="0" w:color="000000"/>
              <w:right w:val="single" w:sz="4" w:space="0" w:color="000000"/>
            </w:tcBorders>
            <w:vAlign w:val="center"/>
          </w:tcPr>
          <w:p w14:paraId="7132F9C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w:t>
            </w:r>
          </w:p>
        </w:tc>
        <w:tc>
          <w:tcPr>
            <w:tcW w:w="567"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4BA5A08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2C0B8B3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51E9B89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8" w:space="0" w:color="000000"/>
            </w:tcBorders>
            <w:shd w:val="clear" w:color="000000" w:fill="FFFF00"/>
            <w:noWrap/>
            <w:vAlign w:val="center"/>
            <w:hideMark/>
          </w:tcPr>
          <w:p w14:paraId="0E5A73D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3F1B88F4"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1E61BDCD"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45BB0490"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75E2749F"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G03 Architectuur</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0BA0F80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 Architectuur</w:t>
            </w:r>
          </w:p>
        </w:tc>
        <w:tc>
          <w:tcPr>
            <w:tcW w:w="310" w:type="dxa"/>
            <w:tcBorders>
              <w:top w:val="single" w:sz="8" w:space="0" w:color="000000"/>
              <w:left w:val="single" w:sz="4" w:space="0" w:color="000000"/>
              <w:bottom w:val="single" w:sz="8" w:space="0" w:color="000000"/>
              <w:right w:val="single" w:sz="4" w:space="0" w:color="000000"/>
            </w:tcBorders>
            <w:vAlign w:val="center"/>
          </w:tcPr>
          <w:p w14:paraId="3958704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single" w:sz="4" w:space="0" w:color="000000"/>
              <w:bottom w:val="single" w:sz="8" w:space="0" w:color="000000"/>
              <w:right w:val="single" w:sz="4" w:space="0" w:color="auto"/>
            </w:tcBorders>
            <w:shd w:val="clear" w:color="000000" w:fill="FFFF00"/>
            <w:noWrap/>
            <w:vAlign w:val="center"/>
            <w:hideMark/>
          </w:tcPr>
          <w:p w14:paraId="10D802B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49EC5BA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hideMark/>
          </w:tcPr>
          <w:p w14:paraId="0B83F7B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8" w:space="0" w:color="000000"/>
            </w:tcBorders>
            <w:shd w:val="clear" w:color="000000" w:fill="FFFF00"/>
            <w:noWrap/>
            <w:vAlign w:val="center"/>
            <w:hideMark/>
          </w:tcPr>
          <w:p w14:paraId="60C32B9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3A6BAF86"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50396A97"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7B1EE955" w14:textId="77777777" w:rsidTr="00A76C5C">
        <w:trPr>
          <w:trHeight w:val="240"/>
        </w:trPr>
        <w:tc>
          <w:tcPr>
            <w:tcW w:w="2258" w:type="dxa"/>
            <w:vMerge w:val="restart"/>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32AADCC2" w14:textId="433EEAB3"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 xml:space="preserve">G04 </w:t>
            </w:r>
            <w:r w:rsidR="00E358A3">
              <w:rPr>
                <w:rFonts w:eastAsia="Times New Roman" w:cs="Calibri"/>
                <w:b/>
                <w:bCs/>
                <w:color w:val="FFFFFF"/>
                <w:sz w:val="16"/>
                <w:szCs w:val="16"/>
                <w:lang w:eastAsia="nl-NL"/>
              </w:rPr>
              <w:t>Eigenaarschap</w:t>
            </w:r>
          </w:p>
          <w:p w14:paraId="5FE3CD26"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 </w:t>
            </w:r>
          </w:p>
        </w:tc>
        <w:tc>
          <w:tcPr>
            <w:tcW w:w="507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4142205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2.1 Eigenaarschap, rollen, verantwoording en verantwoordelijkheid</w:t>
            </w:r>
          </w:p>
        </w:tc>
        <w:tc>
          <w:tcPr>
            <w:tcW w:w="310" w:type="dxa"/>
            <w:tcBorders>
              <w:top w:val="single" w:sz="8" w:space="0" w:color="000000"/>
              <w:left w:val="single" w:sz="4" w:space="0" w:color="000000"/>
              <w:bottom w:val="single" w:sz="4" w:space="0" w:color="auto"/>
              <w:right w:val="single" w:sz="4" w:space="0" w:color="000000"/>
            </w:tcBorders>
            <w:vAlign w:val="center"/>
          </w:tcPr>
          <w:p w14:paraId="20E08FC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single" w:sz="4" w:space="0" w:color="000000"/>
              <w:bottom w:val="single" w:sz="4" w:space="0" w:color="auto"/>
              <w:right w:val="single" w:sz="4" w:space="0" w:color="auto"/>
            </w:tcBorders>
            <w:shd w:val="clear" w:color="000000" w:fill="FFFF00"/>
            <w:noWrap/>
            <w:vAlign w:val="center"/>
            <w:hideMark/>
          </w:tcPr>
          <w:p w14:paraId="61F80EF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4" w:space="0" w:color="auto"/>
            </w:tcBorders>
            <w:shd w:val="clear" w:color="000000" w:fill="FFFF00"/>
            <w:noWrap/>
            <w:vAlign w:val="center"/>
            <w:hideMark/>
          </w:tcPr>
          <w:p w14:paraId="046325D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4" w:space="0" w:color="auto"/>
            </w:tcBorders>
            <w:shd w:val="clear" w:color="000000" w:fill="FFFF00"/>
            <w:noWrap/>
            <w:vAlign w:val="center"/>
            <w:hideMark/>
          </w:tcPr>
          <w:p w14:paraId="6AAFC2E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8" w:space="0" w:color="000000"/>
            </w:tcBorders>
            <w:shd w:val="clear" w:color="000000" w:fill="FFFF00"/>
            <w:noWrap/>
            <w:vAlign w:val="center"/>
            <w:hideMark/>
          </w:tcPr>
          <w:p w14:paraId="73D6212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78C24581"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4FF1679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147B7892" w14:textId="77777777" w:rsidTr="00A76C5C">
        <w:trPr>
          <w:trHeight w:val="25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6BEA62E7"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19E13008"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2.2 Functiescheiding</w:t>
            </w:r>
          </w:p>
        </w:tc>
        <w:tc>
          <w:tcPr>
            <w:tcW w:w="310" w:type="dxa"/>
            <w:tcBorders>
              <w:top w:val="nil"/>
              <w:left w:val="single" w:sz="4" w:space="0" w:color="000000"/>
              <w:bottom w:val="single" w:sz="8" w:space="0" w:color="000000"/>
              <w:right w:val="single" w:sz="4" w:space="0" w:color="000000"/>
            </w:tcBorders>
            <w:vAlign w:val="center"/>
          </w:tcPr>
          <w:p w14:paraId="6EFC5CF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5</w:t>
            </w:r>
          </w:p>
        </w:tc>
        <w:tc>
          <w:tcPr>
            <w:tcW w:w="567" w:type="dxa"/>
            <w:tcBorders>
              <w:top w:val="nil"/>
              <w:left w:val="single" w:sz="4" w:space="0" w:color="000000"/>
              <w:bottom w:val="single" w:sz="8" w:space="0" w:color="000000"/>
              <w:right w:val="single" w:sz="4" w:space="0" w:color="auto"/>
            </w:tcBorders>
            <w:shd w:val="clear" w:color="000000" w:fill="FFFF00"/>
            <w:noWrap/>
            <w:vAlign w:val="center"/>
            <w:hideMark/>
          </w:tcPr>
          <w:p w14:paraId="6287B3E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4" w:space="0" w:color="auto"/>
            </w:tcBorders>
            <w:shd w:val="clear" w:color="000000" w:fill="FFFF00"/>
            <w:noWrap/>
            <w:vAlign w:val="center"/>
            <w:hideMark/>
          </w:tcPr>
          <w:p w14:paraId="0B0D205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4" w:space="0" w:color="auto"/>
            </w:tcBorders>
            <w:shd w:val="clear" w:color="000000" w:fill="FFFF00"/>
            <w:noWrap/>
            <w:vAlign w:val="center"/>
            <w:hideMark/>
          </w:tcPr>
          <w:p w14:paraId="119ECD1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8" w:space="0" w:color="000000"/>
            </w:tcBorders>
            <w:shd w:val="clear" w:color="000000" w:fill="FFFF00"/>
            <w:noWrap/>
            <w:vAlign w:val="center"/>
            <w:hideMark/>
          </w:tcPr>
          <w:p w14:paraId="142F1EF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6EC385E7"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5DF4D425"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6EDAA1EE" w14:textId="77777777" w:rsidTr="00A76C5C">
        <w:trPr>
          <w:trHeight w:val="240"/>
        </w:trPr>
        <w:tc>
          <w:tcPr>
            <w:tcW w:w="2258" w:type="dxa"/>
            <w:vMerge w:val="restart"/>
            <w:tcBorders>
              <w:top w:val="single" w:sz="8" w:space="0" w:color="FFFFFF"/>
              <w:left w:val="single" w:sz="8" w:space="0" w:color="000000"/>
              <w:bottom w:val="single" w:sz="8" w:space="0" w:color="FFFFFF"/>
              <w:right w:val="single" w:sz="8" w:space="0" w:color="000000"/>
            </w:tcBorders>
            <w:shd w:val="clear" w:color="auto" w:fill="0070C0"/>
            <w:noWrap/>
            <w:vAlign w:val="center"/>
            <w:hideMark/>
          </w:tcPr>
          <w:p w14:paraId="5FCD2672"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G05 Risk Management</w:t>
            </w:r>
          </w:p>
        </w:tc>
        <w:tc>
          <w:tcPr>
            <w:tcW w:w="507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C48C01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3.1 Informatie risicomanagementframework</w:t>
            </w:r>
          </w:p>
        </w:tc>
        <w:tc>
          <w:tcPr>
            <w:tcW w:w="310" w:type="dxa"/>
            <w:tcBorders>
              <w:top w:val="single" w:sz="8" w:space="0" w:color="000000"/>
              <w:left w:val="single" w:sz="4" w:space="0" w:color="000000"/>
              <w:bottom w:val="single" w:sz="4" w:space="0" w:color="auto"/>
              <w:right w:val="single" w:sz="4" w:space="0" w:color="000000"/>
            </w:tcBorders>
            <w:vAlign w:val="center"/>
          </w:tcPr>
          <w:p w14:paraId="6DFE735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6</w:t>
            </w:r>
          </w:p>
        </w:tc>
        <w:tc>
          <w:tcPr>
            <w:tcW w:w="567" w:type="dxa"/>
            <w:tcBorders>
              <w:top w:val="single" w:sz="8" w:space="0" w:color="000000"/>
              <w:left w:val="single" w:sz="4" w:space="0" w:color="000000"/>
              <w:bottom w:val="single" w:sz="4" w:space="0" w:color="auto"/>
              <w:right w:val="single" w:sz="4" w:space="0" w:color="auto"/>
            </w:tcBorders>
            <w:shd w:val="clear" w:color="000000" w:fill="FFFF00"/>
            <w:noWrap/>
            <w:vAlign w:val="center"/>
            <w:hideMark/>
          </w:tcPr>
          <w:p w14:paraId="559CD9C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4" w:space="0" w:color="auto"/>
            </w:tcBorders>
            <w:shd w:val="clear" w:color="000000" w:fill="FFFF00"/>
            <w:noWrap/>
            <w:vAlign w:val="center"/>
            <w:hideMark/>
          </w:tcPr>
          <w:p w14:paraId="7D5A9DA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4" w:space="0" w:color="auto"/>
            </w:tcBorders>
            <w:shd w:val="clear" w:color="000000" w:fill="FFFF00"/>
            <w:noWrap/>
            <w:vAlign w:val="center"/>
            <w:hideMark/>
          </w:tcPr>
          <w:p w14:paraId="185ECFA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000000"/>
              <w:left w:val="nil"/>
              <w:bottom w:val="single" w:sz="4" w:space="0" w:color="auto"/>
              <w:right w:val="single" w:sz="8" w:space="0" w:color="000000"/>
            </w:tcBorders>
            <w:shd w:val="clear" w:color="000000" w:fill="FFFF00"/>
            <w:noWrap/>
            <w:vAlign w:val="center"/>
            <w:hideMark/>
          </w:tcPr>
          <w:p w14:paraId="08513EA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2FDDE968"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6F5018F7"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5E6D9A18" w14:textId="77777777" w:rsidTr="00A76C5C">
        <w:trPr>
          <w:trHeight w:val="24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54831E5F"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531068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3.2 Risicobeoordeling</w:t>
            </w:r>
          </w:p>
        </w:tc>
        <w:tc>
          <w:tcPr>
            <w:tcW w:w="310" w:type="dxa"/>
            <w:tcBorders>
              <w:top w:val="nil"/>
              <w:left w:val="single" w:sz="4" w:space="0" w:color="000000"/>
              <w:bottom w:val="single" w:sz="4" w:space="0" w:color="auto"/>
              <w:right w:val="single" w:sz="4" w:space="0" w:color="000000"/>
            </w:tcBorders>
            <w:vAlign w:val="center"/>
          </w:tcPr>
          <w:p w14:paraId="04D4C8C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7</w:t>
            </w:r>
          </w:p>
        </w:tc>
        <w:tc>
          <w:tcPr>
            <w:tcW w:w="567" w:type="dxa"/>
            <w:tcBorders>
              <w:top w:val="nil"/>
              <w:left w:val="single" w:sz="4" w:space="0" w:color="000000"/>
              <w:bottom w:val="single" w:sz="4" w:space="0" w:color="auto"/>
              <w:right w:val="single" w:sz="4" w:space="0" w:color="auto"/>
            </w:tcBorders>
            <w:shd w:val="clear" w:color="000000" w:fill="FFFF00"/>
            <w:noWrap/>
            <w:vAlign w:val="center"/>
            <w:hideMark/>
          </w:tcPr>
          <w:p w14:paraId="722762A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6C0114E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008CF45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4" w:space="0" w:color="auto"/>
              <w:right w:val="single" w:sz="8" w:space="0" w:color="000000"/>
            </w:tcBorders>
            <w:shd w:val="clear" w:color="000000" w:fill="FFFF00"/>
            <w:noWrap/>
            <w:vAlign w:val="center"/>
            <w:hideMark/>
          </w:tcPr>
          <w:p w14:paraId="3A8737A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706FC1E9"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0A6EF9B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7852E9E9" w14:textId="77777777" w:rsidTr="00A76C5C">
        <w:trPr>
          <w:trHeight w:val="250"/>
        </w:trPr>
        <w:tc>
          <w:tcPr>
            <w:tcW w:w="2258" w:type="dxa"/>
            <w:vMerge/>
            <w:tcBorders>
              <w:left w:val="single" w:sz="8" w:space="0" w:color="000000"/>
              <w:bottom w:val="single" w:sz="8" w:space="0" w:color="FFFFFF"/>
              <w:right w:val="single" w:sz="8" w:space="0" w:color="000000"/>
            </w:tcBorders>
            <w:shd w:val="clear" w:color="auto" w:fill="0070C0"/>
            <w:noWrap/>
            <w:vAlign w:val="center"/>
            <w:hideMark/>
          </w:tcPr>
          <w:p w14:paraId="2DBD7DA9" w14:textId="77777777" w:rsidR="00A76C5C" w:rsidRPr="00A76C5C" w:rsidRDefault="00A76C5C" w:rsidP="00A76C5C">
            <w:pPr>
              <w:contextualSpacing w:val="0"/>
              <w:rPr>
                <w:rFonts w:eastAsia="Times New Roman" w:cs="Calibri"/>
                <w:b/>
                <w:bCs/>
                <w:color w:val="FFFFFF"/>
                <w:sz w:val="16"/>
                <w:szCs w:val="16"/>
                <w:lang w:eastAsia="nl-NL"/>
              </w:rPr>
            </w:pPr>
          </w:p>
        </w:tc>
        <w:tc>
          <w:tcPr>
            <w:tcW w:w="507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598A884C"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3.3 Plan voor behandeling en beperking van risico's (incl. risicoacceptatie)</w:t>
            </w:r>
          </w:p>
        </w:tc>
        <w:tc>
          <w:tcPr>
            <w:tcW w:w="310" w:type="dxa"/>
            <w:tcBorders>
              <w:top w:val="nil"/>
              <w:left w:val="single" w:sz="4" w:space="0" w:color="000000"/>
              <w:bottom w:val="single" w:sz="8" w:space="0" w:color="000000"/>
              <w:right w:val="single" w:sz="4" w:space="0" w:color="000000"/>
            </w:tcBorders>
            <w:vAlign w:val="center"/>
          </w:tcPr>
          <w:p w14:paraId="329BA58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8</w:t>
            </w:r>
          </w:p>
        </w:tc>
        <w:tc>
          <w:tcPr>
            <w:tcW w:w="567" w:type="dxa"/>
            <w:tcBorders>
              <w:top w:val="nil"/>
              <w:left w:val="single" w:sz="4" w:space="0" w:color="000000"/>
              <w:bottom w:val="single" w:sz="8" w:space="0" w:color="000000"/>
              <w:right w:val="single" w:sz="4" w:space="0" w:color="auto"/>
            </w:tcBorders>
            <w:shd w:val="clear" w:color="000000" w:fill="FFFF00"/>
            <w:noWrap/>
            <w:vAlign w:val="center"/>
            <w:hideMark/>
          </w:tcPr>
          <w:p w14:paraId="1829DE5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4" w:space="0" w:color="auto"/>
            </w:tcBorders>
            <w:shd w:val="clear" w:color="000000" w:fill="FFFF00"/>
            <w:noWrap/>
            <w:vAlign w:val="center"/>
            <w:hideMark/>
          </w:tcPr>
          <w:p w14:paraId="1942C50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4" w:space="0" w:color="auto"/>
            </w:tcBorders>
            <w:shd w:val="clear" w:color="000000" w:fill="FFFF00"/>
            <w:noWrap/>
            <w:vAlign w:val="center"/>
            <w:hideMark/>
          </w:tcPr>
          <w:p w14:paraId="318E9F0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nil"/>
              <w:left w:val="nil"/>
              <w:bottom w:val="single" w:sz="8" w:space="0" w:color="000000"/>
              <w:right w:val="single" w:sz="8" w:space="0" w:color="000000"/>
            </w:tcBorders>
            <w:shd w:val="clear" w:color="000000" w:fill="FFFF00"/>
            <w:noWrap/>
            <w:vAlign w:val="center"/>
            <w:hideMark/>
          </w:tcPr>
          <w:p w14:paraId="47787DF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hideMark/>
          </w:tcPr>
          <w:p w14:paraId="7484D75F"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274760A2"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5C94F311"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tcPr>
          <w:p w14:paraId="1FE47F4A"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G06 Roadmap</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tcPr>
          <w:p w14:paraId="1BF4063D"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 Planning / Roadmap</w:t>
            </w:r>
          </w:p>
        </w:tc>
        <w:tc>
          <w:tcPr>
            <w:tcW w:w="310" w:type="dxa"/>
            <w:tcBorders>
              <w:top w:val="single" w:sz="8" w:space="0" w:color="000000"/>
              <w:left w:val="single" w:sz="4" w:space="0" w:color="000000"/>
              <w:bottom w:val="single" w:sz="8" w:space="0" w:color="000000"/>
              <w:right w:val="single" w:sz="4" w:space="0" w:color="000000"/>
            </w:tcBorders>
            <w:vAlign w:val="center"/>
          </w:tcPr>
          <w:p w14:paraId="7BA0092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9</w:t>
            </w:r>
          </w:p>
        </w:tc>
        <w:tc>
          <w:tcPr>
            <w:tcW w:w="567" w:type="dxa"/>
            <w:tcBorders>
              <w:top w:val="single" w:sz="8" w:space="0" w:color="000000"/>
              <w:left w:val="single" w:sz="4" w:space="0" w:color="000000"/>
              <w:bottom w:val="single" w:sz="8" w:space="0" w:color="000000"/>
              <w:right w:val="single" w:sz="4" w:space="0" w:color="auto"/>
            </w:tcBorders>
            <w:shd w:val="clear" w:color="000000" w:fill="FFFF00"/>
            <w:noWrap/>
            <w:vAlign w:val="center"/>
          </w:tcPr>
          <w:p w14:paraId="458C29C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tcPr>
          <w:p w14:paraId="2D2CC1C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tcPr>
          <w:p w14:paraId="2913493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8" w:space="0" w:color="000000"/>
            </w:tcBorders>
            <w:shd w:val="clear" w:color="000000" w:fill="FFFF00"/>
            <w:noWrap/>
            <w:vAlign w:val="center"/>
          </w:tcPr>
          <w:p w14:paraId="63EB720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FFFFFF"/>
              <w:right w:val="single" w:sz="4" w:space="0" w:color="auto"/>
            </w:tcBorders>
            <w:shd w:val="clear" w:color="auto" w:fill="4472C4"/>
            <w:noWrap/>
            <w:vAlign w:val="center"/>
          </w:tcPr>
          <w:p w14:paraId="5A8179B6"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342723CB"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705E96DB" w14:textId="77777777" w:rsidTr="00A76C5C">
        <w:trPr>
          <w:trHeight w:val="240"/>
        </w:trPr>
        <w:tc>
          <w:tcPr>
            <w:tcW w:w="2258" w:type="dxa"/>
            <w:tcBorders>
              <w:top w:val="single" w:sz="8" w:space="0" w:color="FFFFFF"/>
              <w:left w:val="single" w:sz="8" w:space="0" w:color="000000"/>
              <w:bottom w:val="single" w:sz="8" w:space="0" w:color="FFFFFF"/>
              <w:right w:val="single" w:sz="8" w:space="0" w:color="000000"/>
            </w:tcBorders>
            <w:shd w:val="clear" w:color="auto" w:fill="0070C0"/>
            <w:noWrap/>
            <w:vAlign w:val="center"/>
          </w:tcPr>
          <w:p w14:paraId="593DC896"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G07 Assurance</w:t>
            </w:r>
          </w:p>
        </w:tc>
        <w:tc>
          <w:tcPr>
            <w:tcW w:w="5077" w:type="dxa"/>
            <w:tcBorders>
              <w:top w:val="single" w:sz="8" w:space="0" w:color="000000"/>
              <w:left w:val="single" w:sz="8" w:space="0" w:color="000000"/>
              <w:bottom w:val="single" w:sz="8" w:space="0" w:color="000000"/>
              <w:right w:val="single" w:sz="4" w:space="0" w:color="000000"/>
            </w:tcBorders>
            <w:shd w:val="clear" w:color="auto" w:fill="auto"/>
            <w:noWrap/>
            <w:vAlign w:val="center"/>
          </w:tcPr>
          <w:p w14:paraId="3245148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 Onafhankelijke toetsing</w:t>
            </w:r>
          </w:p>
        </w:tc>
        <w:tc>
          <w:tcPr>
            <w:tcW w:w="310" w:type="dxa"/>
            <w:tcBorders>
              <w:top w:val="single" w:sz="8" w:space="0" w:color="000000"/>
              <w:left w:val="single" w:sz="4" w:space="0" w:color="000000"/>
              <w:bottom w:val="single" w:sz="8" w:space="0" w:color="000000"/>
              <w:right w:val="single" w:sz="4" w:space="0" w:color="000000"/>
            </w:tcBorders>
            <w:vAlign w:val="center"/>
          </w:tcPr>
          <w:p w14:paraId="1F3190C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10</w:t>
            </w:r>
          </w:p>
        </w:tc>
        <w:tc>
          <w:tcPr>
            <w:tcW w:w="567" w:type="dxa"/>
            <w:tcBorders>
              <w:top w:val="single" w:sz="8" w:space="0" w:color="000000"/>
              <w:left w:val="single" w:sz="4" w:space="0" w:color="000000"/>
              <w:bottom w:val="single" w:sz="8" w:space="0" w:color="000000"/>
              <w:right w:val="single" w:sz="4" w:space="0" w:color="auto"/>
            </w:tcBorders>
            <w:shd w:val="clear" w:color="000000" w:fill="FFFF00"/>
            <w:noWrap/>
            <w:vAlign w:val="center"/>
          </w:tcPr>
          <w:p w14:paraId="4B8C074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tcPr>
          <w:p w14:paraId="5600C2C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4" w:space="0" w:color="auto"/>
            </w:tcBorders>
            <w:shd w:val="clear" w:color="000000" w:fill="FFFF00"/>
            <w:noWrap/>
            <w:vAlign w:val="center"/>
          </w:tcPr>
          <w:p w14:paraId="763C3F4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000000"/>
              <w:left w:val="nil"/>
              <w:bottom w:val="single" w:sz="8" w:space="0" w:color="000000"/>
              <w:right w:val="single" w:sz="8" w:space="0" w:color="000000"/>
            </w:tcBorders>
            <w:shd w:val="clear" w:color="000000" w:fill="FFFF00"/>
            <w:noWrap/>
            <w:vAlign w:val="center"/>
          </w:tcPr>
          <w:p w14:paraId="0054667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000000"/>
              <w:bottom w:val="single" w:sz="4" w:space="0" w:color="auto"/>
              <w:right w:val="single" w:sz="4" w:space="0" w:color="auto"/>
            </w:tcBorders>
            <w:shd w:val="clear" w:color="auto" w:fill="4472C4"/>
            <w:noWrap/>
            <w:vAlign w:val="center"/>
          </w:tcPr>
          <w:p w14:paraId="40EC2E83"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tcBorders>
              <w:top w:val="single" w:sz="4" w:space="0" w:color="auto"/>
              <w:left w:val="single" w:sz="4" w:space="0" w:color="auto"/>
              <w:bottom w:val="single" w:sz="4" w:space="0" w:color="auto"/>
              <w:right w:val="single" w:sz="8" w:space="0" w:color="auto"/>
            </w:tcBorders>
            <w:shd w:val="clear" w:color="auto" w:fill="FFFFFF"/>
          </w:tcPr>
          <w:p w14:paraId="3FC1296A"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sz w:val="16"/>
                <w:szCs w:val="16"/>
              </w:rPr>
              <w:t>College van Bestuur</w:t>
            </w:r>
          </w:p>
        </w:tc>
      </w:tr>
      <w:tr w:rsidR="00A76C5C" w:rsidRPr="00A76C5C" w14:paraId="3E27BF00" w14:textId="77777777" w:rsidTr="00A76C5C">
        <w:trPr>
          <w:trHeight w:val="250"/>
        </w:trPr>
        <w:tc>
          <w:tcPr>
            <w:tcW w:w="2258" w:type="dxa"/>
            <w:tcBorders>
              <w:left w:val="single" w:sz="8" w:space="0" w:color="000000"/>
              <w:bottom w:val="single" w:sz="8" w:space="0" w:color="auto"/>
              <w:right w:val="single" w:sz="8" w:space="0" w:color="000000"/>
            </w:tcBorders>
            <w:shd w:val="clear" w:color="auto" w:fill="00B050"/>
            <w:noWrap/>
            <w:vAlign w:val="bottom"/>
          </w:tcPr>
          <w:p w14:paraId="77CE371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b/>
                <w:bCs/>
                <w:color w:val="FFFFFF"/>
                <w:sz w:val="16"/>
                <w:szCs w:val="16"/>
                <w:lang w:eastAsia="nl-NL"/>
              </w:rPr>
              <w:t>P08 Human Resources</w:t>
            </w:r>
          </w:p>
        </w:tc>
        <w:tc>
          <w:tcPr>
            <w:tcW w:w="5077" w:type="dxa"/>
            <w:tcBorders>
              <w:top w:val="single" w:sz="4" w:space="0" w:color="auto"/>
              <w:left w:val="single" w:sz="8" w:space="0" w:color="000000"/>
              <w:bottom w:val="single" w:sz="8" w:space="0" w:color="auto"/>
              <w:right w:val="single" w:sz="4" w:space="0" w:color="auto"/>
            </w:tcBorders>
            <w:shd w:val="clear" w:color="auto" w:fill="auto"/>
            <w:noWrap/>
            <w:vAlign w:val="bottom"/>
          </w:tcPr>
          <w:p w14:paraId="3D25083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4.6 Veiligheidsbewustzijn</w:t>
            </w:r>
          </w:p>
        </w:tc>
        <w:tc>
          <w:tcPr>
            <w:tcW w:w="310" w:type="dxa"/>
            <w:tcBorders>
              <w:top w:val="single" w:sz="4" w:space="0" w:color="auto"/>
              <w:left w:val="nil"/>
              <w:bottom w:val="single" w:sz="8" w:space="0" w:color="auto"/>
              <w:right w:val="single" w:sz="4" w:space="0" w:color="000000"/>
            </w:tcBorders>
            <w:vAlign w:val="center"/>
          </w:tcPr>
          <w:p w14:paraId="50B8CDC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16</w:t>
            </w:r>
          </w:p>
        </w:tc>
        <w:tc>
          <w:tcPr>
            <w:tcW w:w="567" w:type="dxa"/>
            <w:tcBorders>
              <w:top w:val="single" w:sz="4" w:space="0" w:color="auto"/>
              <w:left w:val="single" w:sz="4" w:space="0" w:color="000000"/>
              <w:bottom w:val="single" w:sz="8" w:space="0" w:color="auto"/>
              <w:right w:val="single" w:sz="4" w:space="0" w:color="auto"/>
            </w:tcBorders>
            <w:shd w:val="clear" w:color="000000" w:fill="FFFF00"/>
            <w:noWrap/>
            <w:vAlign w:val="center"/>
          </w:tcPr>
          <w:p w14:paraId="5CBAC35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4" w:space="0" w:color="auto"/>
              <w:left w:val="nil"/>
              <w:bottom w:val="single" w:sz="8" w:space="0" w:color="auto"/>
              <w:right w:val="single" w:sz="4" w:space="0" w:color="auto"/>
            </w:tcBorders>
            <w:shd w:val="clear" w:color="000000" w:fill="FFFF00"/>
            <w:noWrap/>
            <w:vAlign w:val="center"/>
          </w:tcPr>
          <w:p w14:paraId="03E523C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4" w:space="0" w:color="auto"/>
              <w:left w:val="nil"/>
              <w:bottom w:val="single" w:sz="8" w:space="0" w:color="auto"/>
              <w:right w:val="single" w:sz="4" w:space="0" w:color="auto"/>
            </w:tcBorders>
            <w:shd w:val="clear" w:color="000000" w:fill="FFFF00"/>
            <w:noWrap/>
            <w:vAlign w:val="center"/>
          </w:tcPr>
          <w:p w14:paraId="089B034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4" w:space="0" w:color="auto"/>
              <w:left w:val="nil"/>
              <w:bottom w:val="single" w:sz="8" w:space="0" w:color="auto"/>
              <w:right w:val="single" w:sz="8" w:space="0" w:color="000000"/>
            </w:tcBorders>
            <w:shd w:val="clear" w:color="000000" w:fill="FFFF00"/>
            <w:noWrap/>
            <w:vAlign w:val="center"/>
          </w:tcPr>
          <w:p w14:paraId="3DD8ACA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auto"/>
              <w:left w:val="single" w:sz="8" w:space="0" w:color="000000"/>
              <w:bottom w:val="single" w:sz="8" w:space="0" w:color="auto"/>
              <w:right w:val="single" w:sz="4" w:space="0" w:color="auto"/>
            </w:tcBorders>
            <w:shd w:val="clear" w:color="auto" w:fill="00B050"/>
            <w:noWrap/>
            <w:vAlign w:val="bottom"/>
          </w:tcPr>
          <w:p w14:paraId="3C646CEB" w14:textId="77777777" w:rsidR="00A76C5C" w:rsidRPr="00A76C5C" w:rsidRDefault="00A76C5C" w:rsidP="00A76C5C">
            <w:pPr>
              <w:contextualSpacing w:val="0"/>
              <w:jc w:val="center"/>
              <w:rPr>
                <w:rFonts w:eastAsia="Times New Roman" w:cs="Calibri"/>
                <w:b/>
                <w:bCs/>
                <w:color w:val="000000"/>
                <w:sz w:val="16"/>
                <w:szCs w:val="16"/>
                <w:lang w:eastAsia="nl-NL"/>
              </w:rPr>
            </w:pPr>
            <w:r w:rsidRPr="00A76C5C">
              <w:rPr>
                <w:rFonts w:eastAsia="Times New Roman" w:cs="Calibri"/>
                <w:b/>
                <w:bCs/>
                <w:color w:val="FFFFFF"/>
                <w:sz w:val="16"/>
                <w:szCs w:val="16"/>
                <w:lang w:eastAsia="nl-NL"/>
              </w:rPr>
              <w:t>20K</w:t>
            </w:r>
          </w:p>
        </w:tc>
        <w:tc>
          <w:tcPr>
            <w:tcW w:w="1814" w:type="dxa"/>
            <w:tcBorders>
              <w:top w:val="single" w:sz="4" w:space="0" w:color="auto"/>
              <w:left w:val="single" w:sz="4" w:space="0" w:color="auto"/>
              <w:bottom w:val="single" w:sz="8" w:space="0" w:color="auto"/>
              <w:right w:val="single" w:sz="8" w:space="0" w:color="auto"/>
            </w:tcBorders>
            <w:shd w:val="clear" w:color="auto" w:fill="FFFFFF"/>
            <w:vAlign w:val="center"/>
          </w:tcPr>
          <w:p w14:paraId="73B33C93" w14:textId="77777777" w:rsidR="00A76C5C" w:rsidRPr="00A76C5C" w:rsidRDefault="00A76C5C" w:rsidP="00A76C5C">
            <w:pPr>
              <w:contextualSpacing w:val="0"/>
              <w:jc w:val="center"/>
              <w:rPr>
                <w:rFonts w:eastAsia="Times New Roman" w:cs="Calibri"/>
                <w:sz w:val="16"/>
                <w:szCs w:val="16"/>
                <w:lang w:eastAsia="nl-NL"/>
              </w:rPr>
            </w:pPr>
            <w:r w:rsidRPr="00A76C5C">
              <w:rPr>
                <w:rFonts w:eastAsia="Times New Roman" w:cs="Calibri"/>
                <w:sz w:val="16"/>
                <w:szCs w:val="16"/>
                <w:lang w:eastAsia="nl-NL"/>
              </w:rPr>
              <w:t>Hoofd HRM</w:t>
            </w:r>
          </w:p>
        </w:tc>
      </w:tr>
    </w:tbl>
    <w:p w14:paraId="15D7368C" w14:textId="77777777" w:rsidR="00A76C5C" w:rsidRPr="00A76C5C" w:rsidRDefault="00A76C5C" w:rsidP="007D3670">
      <w:pPr>
        <w:keepNext/>
        <w:keepLines/>
        <w:spacing w:before="40" w:line="259" w:lineRule="auto"/>
        <w:contextualSpacing w:val="0"/>
        <w:outlineLvl w:val="1"/>
        <w:rPr>
          <w:rFonts w:ascii="Calibri Light" w:eastAsia="Times New Roman" w:hAnsi="Calibri Light"/>
          <w:b/>
          <w:color w:val="2F5496"/>
          <w:sz w:val="26"/>
          <w:szCs w:val="26"/>
        </w:rPr>
      </w:pPr>
    </w:p>
    <w:p w14:paraId="7C5460A3" w14:textId="77777777" w:rsidR="00A76C5C" w:rsidRPr="007D3670" w:rsidRDefault="00A76C5C" w:rsidP="007D3670">
      <w:pPr>
        <w:rPr>
          <w:b/>
          <w:bCs/>
          <w:sz w:val="24"/>
          <w:szCs w:val="24"/>
        </w:rPr>
      </w:pPr>
      <w:bookmarkStart w:id="35" w:name="_Toc119927039"/>
      <w:r w:rsidRPr="007D3670">
        <w:rPr>
          <w:b/>
          <w:bCs/>
          <w:sz w:val="24"/>
          <w:szCs w:val="24"/>
        </w:rPr>
        <w:t xml:space="preserve">Samenhang binnen </w:t>
      </w:r>
      <w:r w:rsidRPr="007D3670">
        <w:rPr>
          <w:b/>
          <w:bCs/>
          <w:color w:val="FFFFFF"/>
          <w:sz w:val="24"/>
          <w:szCs w:val="24"/>
          <w:shd w:val="clear" w:color="auto" w:fill="0070C0"/>
        </w:rPr>
        <w:t>Governance</w:t>
      </w:r>
      <w:bookmarkEnd w:id="35"/>
    </w:p>
    <w:p w14:paraId="4C0C4DDE" w14:textId="77777777" w:rsidR="00A76C5C" w:rsidRPr="00A76C5C" w:rsidRDefault="00A76C5C" w:rsidP="00A76C5C">
      <w:pPr>
        <w:spacing w:line="259" w:lineRule="auto"/>
        <w:contextualSpacing w:val="0"/>
        <w:rPr>
          <w:szCs w:val="22"/>
        </w:rPr>
      </w:pPr>
      <w:r w:rsidRPr="00A76C5C">
        <w:rPr>
          <w:szCs w:val="22"/>
        </w:rPr>
        <w:t>Het onderdeel governance bestaat uit 7 documenten.</w:t>
      </w:r>
    </w:p>
    <w:p w14:paraId="0F1412D8" w14:textId="77777777" w:rsidR="00A76C5C" w:rsidRPr="00A76C5C" w:rsidRDefault="00A76C5C" w:rsidP="00A76C5C">
      <w:pPr>
        <w:spacing w:line="259" w:lineRule="auto"/>
        <w:contextualSpacing w:val="0"/>
        <w:rPr>
          <w:szCs w:val="22"/>
        </w:rPr>
      </w:pPr>
      <w:r w:rsidRPr="00A76C5C">
        <w:rPr>
          <w:szCs w:val="22"/>
        </w:rPr>
        <w:t>De logische volgorde wijkt af van de indeling binnen het NBA kader (=SURF kader).</w:t>
      </w:r>
    </w:p>
    <w:p w14:paraId="1023B01A" w14:textId="77777777" w:rsidR="00A76C5C" w:rsidRPr="00A76C5C" w:rsidRDefault="00A76C5C" w:rsidP="00A76C5C">
      <w:pPr>
        <w:spacing w:line="259" w:lineRule="auto"/>
        <w:contextualSpacing w:val="0"/>
        <w:rPr>
          <w:szCs w:val="22"/>
        </w:rPr>
      </w:pPr>
      <w:r w:rsidRPr="00A76C5C">
        <w:rPr>
          <w:szCs w:val="22"/>
        </w:rPr>
        <w:t>Binnen de deze documenten reeks wordt de onderstaande volgorde gehanteerd:</w:t>
      </w:r>
    </w:p>
    <w:p w14:paraId="4427A1CC" w14:textId="77777777" w:rsidR="00A76C5C" w:rsidRPr="00A76C5C" w:rsidRDefault="00A76C5C" w:rsidP="007D3670">
      <w:pPr>
        <w:numPr>
          <w:ilvl w:val="0"/>
          <w:numId w:val="5"/>
        </w:numPr>
        <w:spacing w:line="259" w:lineRule="auto"/>
        <w:contextualSpacing w:val="0"/>
        <w:rPr>
          <w:b/>
          <w:bCs/>
          <w:szCs w:val="22"/>
        </w:rPr>
      </w:pPr>
      <w:r w:rsidRPr="00A76C5C">
        <w:rPr>
          <w:b/>
          <w:bCs/>
          <w:color w:val="FFFFFF"/>
          <w:szCs w:val="22"/>
          <w:shd w:val="clear" w:color="auto" w:fill="0070C0"/>
        </w:rPr>
        <w:t>Strategie (NBADOC01 Strategie)</w:t>
      </w:r>
    </w:p>
    <w:p w14:paraId="3F76EC78" w14:textId="77777777" w:rsidR="00A76C5C" w:rsidRPr="00A76C5C" w:rsidRDefault="00A76C5C" w:rsidP="00A76C5C">
      <w:pPr>
        <w:spacing w:line="259" w:lineRule="auto"/>
        <w:ind w:left="1070"/>
        <w:rPr>
          <w:i/>
          <w:iCs/>
          <w:szCs w:val="22"/>
        </w:rPr>
      </w:pPr>
      <w:r w:rsidRPr="00A76C5C">
        <w:rPr>
          <w:i/>
          <w:iCs/>
          <w:szCs w:val="22"/>
        </w:rPr>
        <w:t>Een strategie en visie op informatie- en cyber security is leidend voor alle activiteiten en maatregelen met betrekking tot informatiebeveiliging.</w:t>
      </w:r>
    </w:p>
    <w:p w14:paraId="505A9DDF" w14:textId="77777777" w:rsidR="00A76C5C" w:rsidRPr="00A76C5C" w:rsidRDefault="00A76C5C" w:rsidP="00A76C5C">
      <w:pPr>
        <w:spacing w:line="259" w:lineRule="auto"/>
        <w:ind w:left="1070"/>
        <w:rPr>
          <w:i/>
          <w:iCs/>
          <w:szCs w:val="22"/>
        </w:rPr>
      </w:pPr>
      <w:bookmarkStart w:id="36" w:name="_Hlk119237496"/>
      <w:r w:rsidRPr="00A76C5C">
        <w:rPr>
          <w:b/>
          <w:bCs/>
          <w:i/>
          <w:iCs/>
          <w:color w:val="0070C0"/>
          <w:szCs w:val="22"/>
        </w:rPr>
        <w:t>Leidend</w:t>
      </w:r>
      <w:r w:rsidRPr="00A76C5C">
        <w:rPr>
          <w:i/>
          <w:iCs/>
          <w:szCs w:val="22"/>
        </w:rPr>
        <w:t>:</w:t>
      </w:r>
      <w:bookmarkEnd w:id="36"/>
      <w:r w:rsidRPr="00A76C5C">
        <w:rPr>
          <w:i/>
          <w:iCs/>
          <w:szCs w:val="22"/>
        </w:rPr>
        <w:t xml:space="preserve"> Alle medewerkers en leidinggevenden zijn verantwoordelijk voor een optimaal functionerend privacy en security beleid.</w:t>
      </w:r>
    </w:p>
    <w:p w14:paraId="3F674B87" w14:textId="77777777" w:rsidR="00A76C5C" w:rsidRPr="00A76C5C" w:rsidRDefault="00A76C5C" w:rsidP="007D3670">
      <w:pPr>
        <w:numPr>
          <w:ilvl w:val="0"/>
          <w:numId w:val="5"/>
        </w:numPr>
        <w:spacing w:line="259" w:lineRule="auto"/>
        <w:contextualSpacing w:val="0"/>
        <w:rPr>
          <w:b/>
          <w:bCs/>
          <w:szCs w:val="22"/>
        </w:rPr>
      </w:pPr>
      <w:r w:rsidRPr="00A76C5C">
        <w:rPr>
          <w:b/>
          <w:bCs/>
          <w:color w:val="FFFFFF"/>
          <w:szCs w:val="22"/>
          <w:shd w:val="clear" w:color="auto" w:fill="0070C0"/>
        </w:rPr>
        <w:t>Beleid (NBADOC02 Beleid)</w:t>
      </w:r>
    </w:p>
    <w:p w14:paraId="78C959E0" w14:textId="77777777" w:rsidR="00A76C5C" w:rsidRPr="00A76C5C" w:rsidRDefault="00A76C5C" w:rsidP="00A76C5C">
      <w:pPr>
        <w:spacing w:line="259" w:lineRule="auto"/>
        <w:ind w:left="1070"/>
        <w:rPr>
          <w:szCs w:val="22"/>
        </w:rPr>
      </w:pPr>
      <w:r w:rsidRPr="00A76C5C">
        <w:rPr>
          <w:i/>
          <w:iCs/>
          <w:szCs w:val="22"/>
        </w:rPr>
        <w:lastRenderedPageBreak/>
        <w:t>De organisatie heeft een (informatie)beveiligingsbeleid vastgesteld en beschreven en gecommuniceerd aan medewerkers. Indien van toepassing wordt het beleid ook actief meegedeeld aan leveranciers en contractpartners. Het beleid wordt regelmatig geëvalueerd en zo nodig geactualiseerd en goedgekeurd door het senior management</w:t>
      </w:r>
      <w:r w:rsidRPr="00A76C5C">
        <w:rPr>
          <w:szCs w:val="22"/>
        </w:rPr>
        <w:t>.</w:t>
      </w:r>
    </w:p>
    <w:p w14:paraId="5F89CC6D" w14:textId="77777777" w:rsidR="00A76C5C" w:rsidRPr="00A76C5C" w:rsidRDefault="00A76C5C" w:rsidP="00A76C5C">
      <w:pPr>
        <w:spacing w:line="259" w:lineRule="auto"/>
        <w:ind w:left="1070"/>
        <w:rPr>
          <w:szCs w:val="22"/>
        </w:rPr>
      </w:pPr>
      <w:r w:rsidRPr="00A76C5C">
        <w:rPr>
          <w:b/>
          <w:bCs/>
          <w:i/>
          <w:iCs/>
          <w:color w:val="0070C0"/>
          <w:szCs w:val="22"/>
        </w:rPr>
        <w:t>Leidend</w:t>
      </w:r>
      <w:r w:rsidRPr="00A76C5C">
        <w:rPr>
          <w:i/>
          <w:iCs/>
          <w:szCs w:val="22"/>
        </w:rPr>
        <w:t>: De rol van de 1</w:t>
      </w:r>
      <w:r w:rsidRPr="00A76C5C">
        <w:rPr>
          <w:i/>
          <w:iCs/>
          <w:szCs w:val="22"/>
          <w:vertAlign w:val="superscript"/>
        </w:rPr>
        <w:t>e</w:t>
      </w:r>
      <w:r w:rsidRPr="00A76C5C">
        <w:rPr>
          <w:i/>
          <w:iCs/>
          <w:szCs w:val="22"/>
        </w:rPr>
        <w:t xml:space="preserve"> lijn wordt verder uitgewerkt met het benoemen van een systeemeigenaar, applicatie eigenaren en proceseigenaren.</w:t>
      </w:r>
    </w:p>
    <w:p w14:paraId="44745AB9" w14:textId="77777777" w:rsidR="00A76C5C" w:rsidRPr="00A76C5C" w:rsidRDefault="00A76C5C" w:rsidP="007D3670">
      <w:pPr>
        <w:numPr>
          <w:ilvl w:val="0"/>
          <w:numId w:val="5"/>
        </w:numPr>
        <w:spacing w:line="259" w:lineRule="auto"/>
        <w:contextualSpacing w:val="0"/>
        <w:rPr>
          <w:b/>
          <w:bCs/>
          <w:szCs w:val="22"/>
        </w:rPr>
      </w:pPr>
      <w:r w:rsidRPr="00A76C5C">
        <w:rPr>
          <w:b/>
          <w:bCs/>
          <w:color w:val="FFFFFF"/>
          <w:szCs w:val="22"/>
          <w:shd w:val="clear" w:color="auto" w:fill="0070C0"/>
        </w:rPr>
        <w:t>Architectuur (NBADOC03 Architectuur)</w:t>
      </w:r>
    </w:p>
    <w:p w14:paraId="3EC93EFA" w14:textId="77777777" w:rsidR="00A76C5C" w:rsidRPr="00A76C5C" w:rsidRDefault="00A76C5C" w:rsidP="00A76C5C">
      <w:pPr>
        <w:spacing w:line="259" w:lineRule="auto"/>
        <w:ind w:left="1070"/>
        <w:rPr>
          <w:i/>
          <w:iCs/>
          <w:szCs w:val="22"/>
        </w:rPr>
      </w:pPr>
      <w:r w:rsidRPr="00A76C5C">
        <w:rPr>
          <w:i/>
          <w:iCs/>
          <w:szCs w:val="22"/>
        </w:rPr>
        <w:t>De onderwijsinstelling past de MORA/HORA architectuur toe. Dit model moet het mogelijk maken om effectief, veilig en op een robuuste manier informatie te creëren, gebruiken en te delen zoals wordt vereist door bedrijfsdoelstellingen en wettelijke voorschriften.</w:t>
      </w:r>
    </w:p>
    <w:p w14:paraId="4981D982" w14:textId="77777777" w:rsidR="00A76C5C" w:rsidRPr="00A76C5C" w:rsidRDefault="00A76C5C" w:rsidP="00A76C5C">
      <w:pPr>
        <w:spacing w:line="259" w:lineRule="auto"/>
        <w:ind w:left="1070"/>
        <w:rPr>
          <w:i/>
          <w:iCs/>
          <w:szCs w:val="22"/>
        </w:rPr>
      </w:pPr>
      <w:r w:rsidRPr="00A76C5C">
        <w:rPr>
          <w:b/>
          <w:bCs/>
          <w:i/>
          <w:iCs/>
          <w:color w:val="0070C0"/>
          <w:szCs w:val="22"/>
        </w:rPr>
        <w:t>Leidend</w:t>
      </w:r>
      <w:r w:rsidRPr="00A76C5C">
        <w:rPr>
          <w:i/>
          <w:iCs/>
          <w:szCs w:val="22"/>
        </w:rPr>
        <w:t>: De processen zoals aangegeven binnen de MORA/HORA zijn leidend voor de onderwijsorganisatie.</w:t>
      </w:r>
    </w:p>
    <w:p w14:paraId="15821E28" w14:textId="56C7E98E" w:rsidR="00A76C5C" w:rsidRPr="00A76C5C" w:rsidRDefault="00E358A3" w:rsidP="007D3670">
      <w:pPr>
        <w:numPr>
          <w:ilvl w:val="0"/>
          <w:numId w:val="5"/>
        </w:numPr>
        <w:spacing w:line="259" w:lineRule="auto"/>
        <w:contextualSpacing w:val="0"/>
        <w:rPr>
          <w:b/>
          <w:bCs/>
          <w:szCs w:val="22"/>
        </w:rPr>
      </w:pPr>
      <w:r>
        <w:rPr>
          <w:b/>
          <w:bCs/>
          <w:color w:val="FFFFFF"/>
          <w:szCs w:val="22"/>
          <w:shd w:val="clear" w:color="auto" w:fill="0070C0"/>
        </w:rPr>
        <w:t>Eigenaars</w:t>
      </w:r>
      <w:r w:rsidR="00154860">
        <w:rPr>
          <w:b/>
          <w:bCs/>
          <w:color w:val="FFFFFF"/>
          <w:szCs w:val="22"/>
          <w:shd w:val="clear" w:color="auto" w:fill="0070C0"/>
        </w:rPr>
        <w:t xml:space="preserve">chap </w:t>
      </w:r>
      <w:r w:rsidR="00A76C5C" w:rsidRPr="00A76C5C">
        <w:rPr>
          <w:b/>
          <w:bCs/>
          <w:color w:val="FFFFFF"/>
          <w:szCs w:val="22"/>
          <w:shd w:val="clear" w:color="auto" w:fill="0070C0"/>
        </w:rPr>
        <w:t xml:space="preserve">(NBADOC04 </w:t>
      </w:r>
      <w:r w:rsidR="00154860">
        <w:rPr>
          <w:b/>
          <w:bCs/>
          <w:color w:val="FFFFFF"/>
          <w:szCs w:val="22"/>
          <w:shd w:val="clear" w:color="auto" w:fill="0070C0"/>
        </w:rPr>
        <w:t>Eigenaarschap</w:t>
      </w:r>
      <w:r w:rsidR="00A76C5C" w:rsidRPr="00A76C5C">
        <w:rPr>
          <w:b/>
          <w:bCs/>
          <w:color w:val="FFFFFF"/>
          <w:szCs w:val="22"/>
          <w:shd w:val="clear" w:color="auto" w:fill="0070C0"/>
        </w:rPr>
        <w:t>)</w:t>
      </w:r>
    </w:p>
    <w:p w14:paraId="3BCB9469" w14:textId="77777777" w:rsidR="00A76C5C" w:rsidRPr="00A76C5C" w:rsidRDefault="00A76C5C" w:rsidP="00A76C5C">
      <w:pPr>
        <w:spacing w:line="259" w:lineRule="auto"/>
        <w:ind w:left="1070"/>
        <w:rPr>
          <w:i/>
          <w:iCs/>
          <w:szCs w:val="22"/>
        </w:rPr>
      </w:pPr>
      <w:r w:rsidRPr="00A76C5C">
        <w:rPr>
          <w:i/>
          <w:iCs/>
          <w:szCs w:val="22"/>
        </w:rPr>
        <w:t xml:space="preserve">Informatiebeveiliging wordt gemanaged op alle toepasselijke organisatieniveaus en Security (of Information Risk) Management wordt gemanaged in overeenstemming met business requirements/risico's. Eigenaarschap, rollen, verantwoordelijkheden en aansprakelijkheid zijn formeel toegewezen en ingebed in de organisatie. </w:t>
      </w:r>
    </w:p>
    <w:p w14:paraId="0C095C9C" w14:textId="77777777" w:rsidR="00A76C5C" w:rsidRPr="00A76C5C" w:rsidRDefault="00A76C5C" w:rsidP="00A76C5C">
      <w:pPr>
        <w:spacing w:line="259" w:lineRule="auto"/>
        <w:ind w:left="1070"/>
        <w:rPr>
          <w:i/>
          <w:iCs/>
          <w:szCs w:val="22"/>
        </w:rPr>
      </w:pPr>
      <w:r w:rsidRPr="00A76C5C">
        <w:rPr>
          <w:b/>
          <w:bCs/>
          <w:i/>
          <w:iCs/>
          <w:color w:val="0070C0"/>
          <w:szCs w:val="22"/>
        </w:rPr>
        <w:t>Leidend</w:t>
      </w:r>
      <w:r w:rsidRPr="00A76C5C">
        <w:rPr>
          <w:i/>
          <w:iCs/>
          <w:szCs w:val="22"/>
        </w:rPr>
        <w:t>: De processen worden toegewezen aan de proceseigenaren (Accountable). Het RACI model wordt samen met de proceseigenaren ingevuld.</w:t>
      </w:r>
    </w:p>
    <w:p w14:paraId="5E3285B1" w14:textId="77777777" w:rsidR="00A76C5C" w:rsidRPr="00A76C5C" w:rsidRDefault="00A76C5C" w:rsidP="007D3670">
      <w:pPr>
        <w:numPr>
          <w:ilvl w:val="0"/>
          <w:numId w:val="5"/>
        </w:numPr>
        <w:spacing w:line="259" w:lineRule="auto"/>
        <w:contextualSpacing w:val="0"/>
        <w:rPr>
          <w:b/>
          <w:bCs/>
          <w:szCs w:val="22"/>
          <w:lang w:val="en-US"/>
        </w:rPr>
      </w:pPr>
      <w:r w:rsidRPr="00A76C5C">
        <w:rPr>
          <w:b/>
          <w:bCs/>
          <w:color w:val="FFFFFF"/>
          <w:szCs w:val="22"/>
          <w:shd w:val="clear" w:color="auto" w:fill="0070C0"/>
          <w:lang w:val="en-US"/>
        </w:rPr>
        <w:t>Risk Management (NBADOC05 Risk Management)</w:t>
      </w:r>
    </w:p>
    <w:p w14:paraId="533FB9E8" w14:textId="77777777" w:rsidR="00A76C5C" w:rsidRPr="00A76C5C" w:rsidRDefault="00A76C5C" w:rsidP="00A76C5C">
      <w:pPr>
        <w:spacing w:line="259" w:lineRule="auto"/>
        <w:ind w:left="1070"/>
        <w:rPr>
          <w:i/>
          <w:iCs/>
          <w:szCs w:val="22"/>
        </w:rPr>
      </w:pPr>
      <w:r w:rsidRPr="00A76C5C">
        <w:rPr>
          <w:i/>
          <w:iCs/>
          <w:szCs w:val="22"/>
        </w:rPr>
        <w:t>Er is een framework voor Information Risk Management opgesteld en afgestemd op de doelstellingen van de organisatie en het framework voor (enterprise) Risk Management. Beheersactiviteiten worden op alle niveaus geprioriteerd en gepland om de benodigde mitigerende maatregelen te implementeren, inclusief het bepalen van kosten en baten en de verantwoordelijkheid voor de uitvoering. Goedkeuring wordt verkregen voor aanbevolen acties en acceptatie van restrisico's en er wordt voor gezorgd dat uitgevoerde acties onder verantwoordelijkheid van betrokken proceseigenaar(s) vallen. De uitvoering van plannen wordt bewaakt en eventuele afwijkingen worden gerapporteerd aan het senior management.</w:t>
      </w:r>
    </w:p>
    <w:p w14:paraId="4ECBD49E" w14:textId="77777777" w:rsidR="00A76C5C" w:rsidRPr="00A76C5C" w:rsidRDefault="00A76C5C" w:rsidP="00A76C5C">
      <w:pPr>
        <w:spacing w:line="259" w:lineRule="auto"/>
        <w:ind w:left="1070"/>
        <w:rPr>
          <w:i/>
          <w:iCs/>
          <w:szCs w:val="22"/>
        </w:rPr>
      </w:pPr>
      <w:r w:rsidRPr="00A76C5C">
        <w:rPr>
          <w:i/>
          <w:iCs/>
          <w:color w:val="0070C0"/>
          <w:szCs w:val="22"/>
        </w:rPr>
        <w:t>Leidend</w:t>
      </w:r>
      <w:r w:rsidRPr="00A76C5C">
        <w:rPr>
          <w:i/>
          <w:iCs/>
          <w:szCs w:val="22"/>
        </w:rPr>
        <w:t>:</w:t>
      </w:r>
      <w:r w:rsidRPr="00A76C5C">
        <w:rPr>
          <w:i/>
          <w:iCs/>
          <w:color w:val="0070C0"/>
          <w:szCs w:val="22"/>
        </w:rPr>
        <w:t xml:space="preserve"> </w:t>
      </w:r>
      <w:r w:rsidRPr="00A76C5C">
        <w:rPr>
          <w:i/>
          <w:iCs/>
          <w:szCs w:val="22"/>
        </w:rPr>
        <w:t>Het SURF Cyberdreigingsbeeld en de door de onderwijsorganisatie uitgevoerde DPIA’s. De cyberdreigingsrisico’s en DPIA risico’s worden geplot op de statements van het NBA kader. Het NBA kader bestaat uit 15 domeinen, die binnen de MORA/HORA benoemd zijn als processen. De domeinen (processen) zijn toegewezen aan de proceseigenaren en dus ook de risico’s. Uiteindelijk leidt dit tot het Risico Actieplan.</w:t>
      </w:r>
    </w:p>
    <w:p w14:paraId="7CA89B58" w14:textId="77777777" w:rsidR="00A76C5C" w:rsidRPr="00A76C5C" w:rsidRDefault="00A76C5C" w:rsidP="007D3670">
      <w:pPr>
        <w:numPr>
          <w:ilvl w:val="0"/>
          <w:numId w:val="5"/>
        </w:numPr>
        <w:spacing w:line="259" w:lineRule="auto"/>
        <w:contextualSpacing w:val="0"/>
        <w:rPr>
          <w:b/>
          <w:bCs/>
          <w:szCs w:val="22"/>
          <w:lang w:val="en-US"/>
        </w:rPr>
      </w:pPr>
      <w:r w:rsidRPr="00A76C5C">
        <w:rPr>
          <w:b/>
          <w:bCs/>
          <w:color w:val="FFFFFF"/>
          <w:szCs w:val="22"/>
          <w:shd w:val="clear" w:color="auto" w:fill="0070C0"/>
          <w:lang w:val="en-US"/>
        </w:rPr>
        <w:t>Roadmap (NBADOC06 Roadmap)</w:t>
      </w:r>
    </w:p>
    <w:p w14:paraId="6B5C7906" w14:textId="77777777" w:rsidR="00A76C5C" w:rsidRPr="00A76C5C" w:rsidRDefault="00A76C5C" w:rsidP="00A76C5C">
      <w:pPr>
        <w:spacing w:line="259" w:lineRule="auto"/>
        <w:ind w:left="1070"/>
        <w:rPr>
          <w:i/>
          <w:iCs/>
          <w:szCs w:val="22"/>
        </w:rPr>
      </w:pPr>
      <w:r w:rsidRPr="00A76C5C">
        <w:rPr>
          <w:i/>
          <w:iCs/>
          <w:szCs w:val="22"/>
        </w:rPr>
        <w:t>Bedrijfsdoelstellingen, risico's en compliance eisen worden vertaald in een algemeen informatiebeveiligingsplan en/of cyber security plan, rekening houdend met de IT-infrastructuur en de veiligheidscultuur.</w:t>
      </w:r>
    </w:p>
    <w:p w14:paraId="559BD756" w14:textId="77777777" w:rsidR="00A76C5C" w:rsidRPr="00A76C5C" w:rsidRDefault="00A76C5C" w:rsidP="00A76C5C">
      <w:pPr>
        <w:spacing w:line="259" w:lineRule="auto"/>
        <w:ind w:left="1070"/>
        <w:rPr>
          <w:i/>
          <w:iCs/>
          <w:szCs w:val="22"/>
        </w:rPr>
      </w:pPr>
      <w:r w:rsidRPr="00A76C5C">
        <w:rPr>
          <w:b/>
          <w:bCs/>
          <w:i/>
          <w:iCs/>
          <w:color w:val="0070C0"/>
          <w:szCs w:val="22"/>
        </w:rPr>
        <w:t>Leidend</w:t>
      </w:r>
      <w:r w:rsidRPr="00A76C5C">
        <w:rPr>
          <w:i/>
          <w:iCs/>
          <w:szCs w:val="22"/>
        </w:rPr>
        <w:t>: Het Risico Actieplan is de basis voor de Roadmap 2023-2025. De proceseigenaren zijn verantwoordelijk voor de planning om de maturity levels te kunnen realiseren.</w:t>
      </w:r>
    </w:p>
    <w:p w14:paraId="56A0D755" w14:textId="77777777" w:rsidR="00A76C5C" w:rsidRPr="00A76C5C" w:rsidRDefault="00A76C5C" w:rsidP="007D3670">
      <w:pPr>
        <w:numPr>
          <w:ilvl w:val="0"/>
          <w:numId w:val="5"/>
        </w:numPr>
        <w:spacing w:line="259" w:lineRule="auto"/>
        <w:contextualSpacing w:val="0"/>
        <w:rPr>
          <w:b/>
          <w:bCs/>
          <w:szCs w:val="22"/>
          <w:lang w:val="en-US"/>
        </w:rPr>
      </w:pPr>
      <w:r w:rsidRPr="00A76C5C">
        <w:rPr>
          <w:b/>
          <w:bCs/>
          <w:color w:val="FFFFFF"/>
          <w:szCs w:val="22"/>
          <w:shd w:val="clear" w:color="auto" w:fill="0070C0"/>
          <w:lang w:val="en-US"/>
        </w:rPr>
        <w:t>Assurance (NBADOC07 Assurance)</w:t>
      </w:r>
    </w:p>
    <w:p w14:paraId="7371B097" w14:textId="77777777" w:rsidR="00A76C5C" w:rsidRPr="00A76C5C" w:rsidRDefault="00A76C5C" w:rsidP="00A76C5C">
      <w:pPr>
        <w:spacing w:line="259" w:lineRule="auto"/>
        <w:ind w:left="1070"/>
        <w:rPr>
          <w:i/>
          <w:iCs/>
          <w:szCs w:val="22"/>
        </w:rPr>
      </w:pPr>
      <w:r w:rsidRPr="00A76C5C">
        <w:rPr>
          <w:i/>
          <w:iCs/>
          <w:szCs w:val="22"/>
        </w:rPr>
        <w:t>Onafhankelijke assurance (intern of extern) wordt verkregen om te bepalen in hoeverre de informatievoorziening (inclusief IT) voldoet aan relevante wet- en regelgeving; het beleid van de organisatie, de normen en procedures van de organisatie; algemeen aanvaarde werkwijzen; en effectieve en efficiënte prestaties van IT.</w:t>
      </w:r>
    </w:p>
    <w:p w14:paraId="6B909374" w14:textId="7A474B63" w:rsidR="00A76C5C" w:rsidRDefault="00A76C5C" w:rsidP="00A76C5C">
      <w:pPr>
        <w:spacing w:line="259" w:lineRule="auto"/>
        <w:ind w:left="1070"/>
        <w:rPr>
          <w:i/>
          <w:iCs/>
          <w:szCs w:val="22"/>
        </w:rPr>
      </w:pPr>
      <w:r w:rsidRPr="00A76C5C">
        <w:rPr>
          <w:b/>
          <w:bCs/>
          <w:i/>
          <w:iCs/>
          <w:color w:val="0070C0"/>
          <w:szCs w:val="22"/>
        </w:rPr>
        <w:t>Leidend</w:t>
      </w:r>
      <w:r w:rsidRPr="00A76C5C">
        <w:rPr>
          <w:i/>
          <w:iCs/>
          <w:szCs w:val="22"/>
        </w:rPr>
        <w:t>: Vanwege de hoge kosten voor het verkrijgen van een Assurance wordt door het College van Bestuur overwogen om te komen tot een (goedkopere) certificering. Besluitvorming betreffende dit onderwerp zal in de loop van 2023 plaatsvinden.</w:t>
      </w:r>
    </w:p>
    <w:p w14:paraId="1C241B50" w14:textId="77777777" w:rsidR="007D3670" w:rsidRPr="00A76C5C" w:rsidRDefault="007D3670" w:rsidP="00A76C5C">
      <w:pPr>
        <w:spacing w:line="259" w:lineRule="auto"/>
        <w:ind w:left="1070"/>
        <w:rPr>
          <w:i/>
          <w:iCs/>
          <w:szCs w:val="22"/>
        </w:rPr>
      </w:pPr>
    </w:p>
    <w:p w14:paraId="2475BA0F" w14:textId="77777777" w:rsidR="00A76C5C" w:rsidRPr="007D3670" w:rsidRDefault="00A76C5C" w:rsidP="007D3670">
      <w:pPr>
        <w:rPr>
          <w:rFonts w:ascii="Calibri Light" w:hAnsi="Calibri Light"/>
          <w:b/>
          <w:bCs/>
          <w:sz w:val="24"/>
          <w:szCs w:val="24"/>
        </w:rPr>
      </w:pPr>
      <w:bookmarkStart w:id="37" w:name="_Toc119927040"/>
      <w:r w:rsidRPr="007D3670">
        <w:rPr>
          <w:rFonts w:ascii="Calibri Light" w:hAnsi="Calibri Light"/>
          <w:b/>
          <w:bCs/>
          <w:color w:val="FFFFFF"/>
          <w:sz w:val="24"/>
          <w:szCs w:val="24"/>
          <w:shd w:val="clear" w:color="auto" w:fill="00B050"/>
        </w:rPr>
        <w:lastRenderedPageBreak/>
        <w:t>P08 Human Resources</w:t>
      </w:r>
      <w:r w:rsidRPr="007D3670">
        <w:rPr>
          <w:rFonts w:ascii="Calibri Light" w:hAnsi="Calibri Light"/>
          <w:b/>
          <w:bCs/>
          <w:sz w:val="24"/>
          <w:szCs w:val="24"/>
        </w:rPr>
        <w:tab/>
      </w:r>
      <w:r w:rsidRPr="007D3670">
        <w:rPr>
          <w:b/>
          <w:bCs/>
          <w:sz w:val="24"/>
          <w:szCs w:val="24"/>
        </w:rPr>
        <w:t>4.6 Veiligheidsbewustzijn</w:t>
      </w:r>
      <w:bookmarkEnd w:id="37"/>
    </w:p>
    <w:p w14:paraId="536FA119" w14:textId="77777777" w:rsidR="00A76C5C" w:rsidRPr="00A76C5C" w:rsidRDefault="00A76C5C" w:rsidP="00A76C5C">
      <w:pPr>
        <w:spacing w:line="259" w:lineRule="auto"/>
        <w:contextualSpacing w:val="0"/>
        <w:rPr>
          <w:szCs w:val="22"/>
        </w:rPr>
      </w:pPr>
    </w:p>
    <w:p w14:paraId="7C841924" w14:textId="77777777" w:rsidR="00A76C5C" w:rsidRPr="00A76C5C" w:rsidRDefault="00A76C5C" w:rsidP="00A76C5C">
      <w:pPr>
        <w:spacing w:line="259" w:lineRule="auto"/>
        <w:contextualSpacing w:val="0"/>
        <w:rPr>
          <w:szCs w:val="22"/>
        </w:rPr>
      </w:pPr>
      <w:r w:rsidRPr="00A76C5C">
        <w:rPr>
          <w:szCs w:val="22"/>
        </w:rPr>
        <w:t>Veiligheidsbewustzijn is gebaseerd op een meetbare online training door alle medewerkers binnen de onderwijsinstelling. Fontys Hogeschool hanteert de volgende 15 gedragingen die behandeld worden in de online training. Deze gedragingen sluiten aan bij het Cyberdreigingsbeeld en DPIA’s en worden jaarlijks herzien op basis van nieuwe risico’s.</w:t>
      </w:r>
    </w:p>
    <w:p w14:paraId="72C56AD8" w14:textId="77777777" w:rsidR="00A76C5C" w:rsidRPr="00A76C5C" w:rsidRDefault="00A76C5C" w:rsidP="00A76C5C">
      <w:pPr>
        <w:spacing w:line="259" w:lineRule="auto"/>
        <w:contextualSpacing w:val="0"/>
        <w:rPr>
          <w:szCs w:val="22"/>
        </w:rPr>
      </w:pPr>
    </w:p>
    <w:p w14:paraId="1AA0C88C" w14:textId="77777777" w:rsidR="00A76C5C" w:rsidRPr="00A76C5C" w:rsidRDefault="00A76C5C" w:rsidP="00A76C5C">
      <w:pPr>
        <w:spacing w:line="259" w:lineRule="auto"/>
        <w:contextualSpacing w:val="0"/>
        <w:rPr>
          <w:szCs w:val="22"/>
        </w:rPr>
      </w:pPr>
      <w:r w:rsidRPr="00A76C5C">
        <w:rPr>
          <w:noProof/>
          <w:szCs w:val="22"/>
        </w:rPr>
        <w:drawing>
          <wp:inline distT="0" distB="0" distL="0" distR="0" wp14:anchorId="695369EF" wp14:editId="4013DEA6">
            <wp:extent cx="8837679" cy="4539454"/>
            <wp:effectExtent l="0" t="0" r="1905"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090" cy="4562779"/>
                    </a:xfrm>
                    <a:prstGeom prst="rect">
                      <a:avLst/>
                    </a:prstGeom>
                    <a:noFill/>
                  </pic:spPr>
                </pic:pic>
              </a:graphicData>
            </a:graphic>
          </wp:inline>
        </w:drawing>
      </w:r>
    </w:p>
    <w:p w14:paraId="253A61E0" w14:textId="230D3D2C" w:rsidR="00A76C5C" w:rsidRPr="00A76C5C" w:rsidRDefault="00377E89" w:rsidP="007D3670">
      <w:pPr>
        <w:pStyle w:val="Lijstalinea1"/>
      </w:pPr>
      <w:bookmarkStart w:id="38" w:name="_Toc119927041"/>
      <w:r>
        <w:lastRenderedPageBreak/>
        <w:t xml:space="preserve">R2 </w:t>
      </w:r>
      <w:r w:rsidR="00A76C5C" w:rsidRPr="00A76C5C">
        <w:t>Ransomware</w:t>
      </w:r>
      <w:bookmarkEnd w:id="38"/>
    </w:p>
    <w:tbl>
      <w:tblPr>
        <w:tblW w:w="12624" w:type="dxa"/>
        <w:tblInd w:w="-5" w:type="dxa"/>
        <w:tblLayout w:type="fixed"/>
        <w:tblCellMar>
          <w:left w:w="70" w:type="dxa"/>
          <w:right w:w="70" w:type="dxa"/>
        </w:tblCellMar>
        <w:tblLook w:val="04A0" w:firstRow="1" w:lastRow="0" w:firstColumn="1" w:lastColumn="0" w:noHBand="0" w:noVBand="1"/>
      </w:tblPr>
      <w:tblGrid>
        <w:gridCol w:w="2253"/>
        <w:gridCol w:w="5096"/>
        <w:gridCol w:w="312"/>
        <w:gridCol w:w="567"/>
        <w:gridCol w:w="567"/>
        <w:gridCol w:w="567"/>
        <w:gridCol w:w="567"/>
        <w:gridCol w:w="879"/>
        <w:gridCol w:w="1520"/>
        <w:gridCol w:w="296"/>
      </w:tblGrid>
      <w:tr w:rsidR="00A76C5C" w:rsidRPr="00A76C5C" w14:paraId="6AC37AF5" w14:textId="77777777" w:rsidTr="00A76C5C">
        <w:trPr>
          <w:cantSplit/>
          <w:trHeight w:val="1467"/>
        </w:trPr>
        <w:tc>
          <w:tcPr>
            <w:tcW w:w="225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BC99EFF"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Thema’s</w:t>
            </w:r>
          </w:p>
        </w:tc>
        <w:tc>
          <w:tcPr>
            <w:tcW w:w="5096" w:type="dxa"/>
            <w:tcBorders>
              <w:top w:val="single" w:sz="8" w:space="0" w:color="auto"/>
              <w:left w:val="nil"/>
              <w:bottom w:val="single" w:sz="8" w:space="0" w:color="auto"/>
              <w:right w:val="single" w:sz="4" w:space="0" w:color="auto"/>
            </w:tcBorders>
            <w:shd w:val="clear" w:color="auto" w:fill="D9D9D9"/>
            <w:noWrap/>
            <w:vAlign w:val="center"/>
            <w:hideMark/>
          </w:tcPr>
          <w:p w14:paraId="10E58790"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508E5A8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0032F3BD"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3DBD4A37"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567" w:type="dxa"/>
            <w:tcBorders>
              <w:top w:val="single" w:sz="8" w:space="0" w:color="000000"/>
              <w:left w:val="single" w:sz="4" w:space="0" w:color="000000"/>
              <w:bottom w:val="single" w:sz="8" w:space="0" w:color="000000"/>
              <w:right w:val="single" w:sz="4" w:space="0" w:color="000000"/>
            </w:tcBorders>
            <w:shd w:val="clear" w:color="auto" w:fill="D9D9D9"/>
            <w:noWrap/>
            <w:textDirection w:val="tbRl"/>
            <w:vAlign w:val="center"/>
            <w:hideMark/>
          </w:tcPr>
          <w:p w14:paraId="21D4EE6F"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00CBE102"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567" w:type="dxa"/>
            <w:tcBorders>
              <w:top w:val="single" w:sz="8" w:space="0" w:color="000000"/>
              <w:left w:val="single" w:sz="4" w:space="0" w:color="000000"/>
              <w:bottom w:val="single" w:sz="8" w:space="0" w:color="000000"/>
              <w:right w:val="single" w:sz="4" w:space="0" w:color="000000"/>
            </w:tcBorders>
            <w:shd w:val="clear" w:color="auto" w:fill="D9D9D9"/>
            <w:noWrap/>
            <w:textDirection w:val="tbRl"/>
            <w:vAlign w:val="center"/>
            <w:hideMark/>
          </w:tcPr>
          <w:p w14:paraId="2883C48C"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6217F8E3"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567" w:type="dxa"/>
            <w:tcBorders>
              <w:top w:val="single" w:sz="8" w:space="0" w:color="000000"/>
              <w:left w:val="single" w:sz="4" w:space="0" w:color="000000"/>
              <w:bottom w:val="single" w:sz="8" w:space="0" w:color="000000"/>
              <w:right w:val="single" w:sz="4" w:space="0" w:color="000000"/>
            </w:tcBorders>
            <w:shd w:val="clear" w:color="auto" w:fill="D9D9D9"/>
            <w:noWrap/>
            <w:textDirection w:val="tbRl"/>
            <w:vAlign w:val="center"/>
            <w:hideMark/>
          </w:tcPr>
          <w:p w14:paraId="4CB4137D"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335C7DAD"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hideMark/>
          </w:tcPr>
          <w:p w14:paraId="7E4E1276"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c>
          <w:tcPr>
            <w:tcW w:w="1816" w:type="dxa"/>
            <w:gridSpan w:val="2"/>
            <w:tcBorders>
              <w:top w:val="single" w:sz="8" w:space="0" w:color="auto"/>
              <w:left w:val="nil"/>
              <w:bottom w:val="single" w:sz="8" w:space="0" w:color="auto"/>
              <w:right w:val="single" w:sz="8" w:space="0" w:color="auto"/>
            </w:tcBorders>
            <w:shd w:val="clear" w:color="auto" w:fill="FFFF00"/>
            <w:vAlign w:val="center"/>
          </w:tcPr>
          <w:p w14:paraId="1427370D" w14:textId="77777777" w:rsidR="00A76C5C" w:rsidRPr="00A76C5C" w:rsidRDefault="00A76C5C" w:rsidP="00A76C5C">
            <w:pPr>
              <w:contextualSpacing w:val="0"/>
              <w:jc w:val="center"/>
              <w:rPr>
                <w:rFonts w:eastAsia="Times New Roman" w:cs="Calibri"/>
                <w:b/>
                <w:bCs/>
                <w:color w:val="000000"/>
                <w:sz w:val="24"/>
                <w:szCs w:val="24"/>
                <w:lang w:eastAsia="nl-NL"/>
              </w:rPr>
            </w:pPr>
            <w:r w:rsidRPr="00A76C5C">
              <w:rPr>
                <w:rFonts w:eastAsia="Times New Roman" w:cs="Calibri"/>
                <w:b/>
                <w:bCs/>
                <w:color w:val="000000"/>
                <w:sz w:val="24"/>
                <w:szCs w:val="24"/>
                <w:lang w:eastAsia="nl-NL"/>
              </w:rPr>
              <w:t>Proceseigenaar</w:t>
            </w:r>
          </w:p>
          <w:p w14:paraId="3F779CB4"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000000"/>
                <w:sz w:val="24"/>
                <w:szCs w:val="24"/>
                <w:lang w:eastAsia="nl-NL"/>
              </w:rPr>
              <w:t>Accountable</w:t>
            </w:r>
          </w:p>
        </w:tc>
      </w:tr>
      <w:tr w:rsidR="00A76C5C" w:rsidRPr="00A76C5C" w14:paraId="3630A9C3" w14:textId="77777777" w:rsidTr="00A76C5C">
        <w:trPr>
          <w:trHeight w:val="250"/>
        </w:trPr>
        <w:tc>
          <w:tcPr>
            <w:tcW w:w="2253" w:type="dxa"/>
            <w:vMerge w:val="restart"/>
            <w:tcBorders>
              <w:top w:val="single" w:sz="8" w:space="0" w:color="auto"/>
              <w:left w:val="single" w:sz="8" w:space="0" w:color="auto"/>
              <w:bottom w:val="single" w:sz="8" w:space="0" w:color="FFFFFF"/>
              <w:right w:val="single" w:sz="8" w:space="0" w:color="auto"/>
            </w:tcBorders>
            <w:shd w:val="clear" w:color="auto" w:fill="00B050"/>
            <w:noWrap/>
            <w:vAlign w:val="center"/>
            <w:hideMark/>
          </w:tcPr>
          <w:p w14:paraId="6850F37A" w14:textId="77777777" w:rsidR="00A76C5C" w:rsidRPr="00A76C5C" w:rsidRDefault="00A76C5C" w:rsidP="00A76C5C">
            <w:pPr>
              <w:contextualSpacing w:val="0"/>
              <w:rPr>
                <w:rFonts w:eastAsia="Times New Roman" w:cs="Calibri"/>
                <w:b/>
                <w:bCs/>
                <w:color w:val="FF0000"/>
                <w:sz w:val="16"/>
                <w:szCs w:val="16"/>
                <w:lang w:eastAsia="nl-NL"/>
              </w:rPr>
            </w:pPr>
            <w:r w:rsidRPr="00A76C5C">
              <w:rPr>
                <w:rFonts w:eastAsia="Times New Roman" w:cs="Calibri"/>
                <w:b/>
                <w:bCs/>
                <w:color w:val="FFFFFF"/>
                <w:sz w:val="16"/>
                <w:szCs w:val="16"/>
                <w:lang w:val="en-US" w:eastAsia="nl-NL"/>
              </w:rPr>
              <w:t>P09 ITIL</w:t>
            </w: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996D6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5.2 Configuratiedatabase en baseline</w:t>
            </w:r>
          </w:p>
        </w:tc>
        <w:tc>
          <w:tcPr>
            <w:tcW w:w="312" w:type="dxa"/>
            <w:tcBorders>
              <w:top w:val="single" w:sz="4" w:space="0" w:color="auto"/>
              <w:left w:val="single" w:sz="4" w:space="0" w:color="auto"/>
              <w:bottom w:val="single" w:sz="4" w:space="0" w:color="auto"/>
              <w:right w:val="single" w:sz="4" w:space="0" w:color="auto"/>
            </w:tcBorders>
            <w:vAlign w:val="center"/>
          </w:tcPr>
          <w:p w14:paraId="0D07F43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18</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2FF6D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1D2CF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529C35"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hideMark/>
          </w:tcPr>
          <w:p w14:paraId="4A3F51A1"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hideMark/>
          </w:tcPr>
          <w:p w14:paraId="7A2B660D"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6DF6F562" w14:textId="4881B4AA"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Hoofd ICT</w:t>
            </w:r>
          </w:p>
        </w:tc>
      </w:tr>
      <w:tr w:rsidR="00CA7074" w:rsidRPr="00A76C5C" w14:paraId="49C0773A" w14:textId="77777777" w:rsidTr="00A76C5C">
        <w:trPr>
          <w:trHeight w:val="240"/>
        </w:trPr>
        <w:tc>
          <w:tcPr>
            <w:tcW w:w="2253" w:type="dxa"/>
            <w:vMerge/>
            <w:tcBorders>
              <w:left w:val="single" w:sz="8" w:space="0" w:color="auto"/>
              <w:bottom w:val="single" w:sz="8" w:space="0" w:color="FFFFFF"/>
              <w:right w:val="single" w:sz="8" w:space="0" w:color="auto"/>
            </w:tcBorders>
            <w:shd w:val="clear" w:color="auto" w:fill="00B050"/>
            <w:noWrap/>
            <w:vAlign w:val="center"/>
            <w:hideMark/>
          </w:tcPr>
          <w:p w14:paraId="03ED6CBE" w14:textId="77777777" w:rsidR="00CA7074" w:rsidRPr="00A76C5C" w:rsidRDefault="00CA7074" w:rsidP="00CA7074">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7172C4"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6.1 Incident management</w:t>
            </w:r>
          </w:p>
        </w:tc>
        <w:tc>
          <w:tcPr>
            <w:tcW w:w="312" w:type="dxa"/>
            <w:tcBorders>
              <w:top w:val="single" w:sz="4" w:space="0" w:color="auto"/>
              <w:left w:val="single" w:sz="4" w:space="0" w:color="auto"/>
              <w:bottom w:val="single" w:sz="4" w:space="0" w:color="auto"/>
              <w:right w:val="single" w:sz="4" w:space="0" w:color="auto"/>
            </w:tcBorders>
            <w:vAlign w:val="center"/>
          </w:tcPr>
          <w:p w14:paraId="094C9675"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19</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34C465"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5F31E1"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0960C1"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hideMark/>
          </w:tcPr>
          <w:p w14:paraId="22D181B0"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hideMark/>
          </w:tcPr>
          <w:p w14:paraId="5A6911E8" w14:textId="77777777" w:rsidR="00CA7074" w:rsidRPr="00A76C5C" w:rsidRDefault="00CA7074" w:rsidP="00CA7074">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0BE0CA60" w14:textId="3541CA20" w:rsidR="00CA7074" w:rsidRPr="00A76C5C" w:rsidRDefault="00CA7074" w:rsidP="00CA7074">
            <w:pPr>
              <w:contextualSpacing w:val="0"/>
              <w:jc w:val="center"/>
              <w:rPr>
                <w:rFonts w:eastAsia="Times New Roman" w:cs="Calibri"/>
                <w:color w:val="000000"/>
                <w:sz w:val="16"/>
                <w:szCs w:val="16"/>
                <w:lang w:eastAsia="nl-NL"/>
              </w:rPr>
            </w:pPr>
            <w:r w:rsidRPr="004921C3">
              <w:rPr>
                <w:rFonts w:eastAsia="Times New Roman" w:cs="Calibri"/>
                <w:color w:val="000000"/>
                <w:sz w:val="16"/>
                <w:szCs w:val="16"/>
                <w:lang w:eastAsia="nl-NL"/>
              </w:rPr>
              <w:t>Hoofd ICT</w:t>
            </w:r>
          </w:p>
        </w:tc>
      </w:tr>
      <w:tr w:rsidR="00CA7074" w:rsidRPr="00A76C5C" w14:paraId="5F73F8A8" w14:textId="77777777" w:rsidTr="00A76C5C">
        <w:trPr>
          <w:trHeight w:val="240"/>
        </w:trPr>
        <w:tc>
          <w:tcPr>
            <w:tcW w:w="2253" w:type="dxa"/>
            <w:vMerge/>
            <w:tcBorders>
              <w:left w:val="single" w:sz="8" w:space="0" w:color="auto"/>
              <w:bottom w:val="single" w:sz="8" w:space="0" w:color="FFFFFF"/>
              <w:right w:val="single" w:sz="8" w:space="0" w:color="auto"/>
            </w:tcBorders>
            <w:shd w:val="clear" w:color="auto" w:fill="00B050"/>
            <w:noWrap/>
            <w:vAlign w:val="center"/>
            <w:hideMark/>
          </w:tcPr>
          <w:p w14:paraId="77AAC84E" w14:textId="77777777" w:rsidR="00CA7074" w:rsidRPr="00A76C5C" w:rsidRDefault="00CA7074" w:rsidP="00CA7074">
            <w:pPr>
              <w:contextualSpacing w:val="0"/>
              <w:rPr>
                <w:rFonts w:eastAsia="Times New Roman" w:cs="Calibri"/>
                <w:b/>
                <w:bCs/>
                <w:color w:val="FF0000"/>
                <w:sz w:val="16"/>
                <w:szCs w:val="16"/>
                <w:lang w:eastAsia="nl-NL"/>
              </w:rPr>
            </w:pPr>
          </w:p>
        </w:tc>
        <w:tc>
          <w:tcPr>
            <w:tcW w:w="5096" w:type="dxa"/>
            <w:tcBorders>
              <w:top w:val="single" w:sz="4" w:space="0" w:color="FFFFFF"/>
              <w:left w:val="single" w:sz="8" w:space="0" w:color="auto"/>
              <w:bottom w:val="single" w:sz="4" w:space="0" w:color="auto"/>
              <w:right w:val="single" w:sz="4" w:space="0" w:color="auto"/>
            </w:tcBorders>
            <w:shd w:val="clear" w:color="auto" w:fill="auto"/>
            <w:noWrap/>
            <w:vAlign w:val="center"/>
            <w:hideMark/>
          </w:tcPr>
          <w:p w14:paraId="6DD3492D"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6.2 Incident escalatie</w:t>
            </w:r>
          </w:p>
        </w:tc>
        <w:tc>
          <w:tcPr>
            <w:tcW w:w="312" w:type="dxa"/>
            <w:tcBorders>
              <w:top w:val="single" w:sz="4" w:space="0" w:color="FFFFFF"/>
              <w:left w:val="single" w:sz="4" w:space="0" w:color="auto"/>
              <w:bottom w:val="single" w:sz="4" w:space="0" w:color="auto"/>
              <w:right w:val="single" w:sz="4" w:space="0" w:color="auto"/>
            </w:tcBorders>
            <w:vAlign w:val="center"/>
          </w:tcPr>
          <w:p w14:paraId="5DAB3277"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20</w:t>
            </w:r>
          </w:p>
        </w:tc>
        <w:tc>
          <w:tcPr>
            <w:tcW w:w="567" w:type="dxa"/>
            <w:tcBorders>
              <w:top w:val="single" w:sz="4" w:space="0" w:color="FFFFFF"/>
              <w:left w:val="single" w:sz="4" w:space="0" w:color="auto"/>
              <w:bottom w:val="single" w:sz="4" w:space="0" w:color="auto"/>
              <w:right w:val="single" w:sz="4" w:space="0" w:color="auto"/>
            </w:tcBorders>
            <w:shd w:val="clear" w:color="000000" w:fill="FFFF00"/>
            <w:noWrap/>
            <w:vAlign w:val="center"/>
            <w:hideMark/>
          </w:tcPr>
          <w:p w14:paraId="0BBBE776"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FFFFFF"/>
              <w:left w:val="single" w:sz="4" w:space="0" w:color="auto"/>
              <w:bottom w:val="single" w:sz="4" w:space="0" w:color="auto"/>
              <w:right w:val="single" w:sz="4" w:space="0" w:color="auto"/>
            </w:tcBorders>
            <w:shd w:val="clear" w:color="auto" w:fill="D9D9D9"/>
            <w:noWrap/>
            <w:vAlign w:val="center"/>
            <w:hideMark/>
          </w:tcPr>
          <w:p w14:paraId="42AB4061"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FFFFFF"/>
              <w:left w:val="single" w:sz="4" w:space="0" w:color="auto"/>
              <w:bottom w:val="single" w:sz="4" w:space="0" w:color="auto"/>
              <w:right w:val="single" w:sz="4" w:space="0" w:color="auto"/>
            </w:tcBorders>
            <w:shd w:val="clear" w:color="auto" w:fill="D9D9D9"/>
            <w:noWrap/>
            <w:vAlign w:val="center"/>
            <w:hideMark/>
          </w:tcPr>
          <w:p w14:paraId="3ED1B104"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FFFFFF"/>
              <w:left w:val="single" w:sz="4" w:space="0" w:color="auto"/>
              <w:bottom w:val="single" w:sz="4" w:space="0" w:color="auto"/>
              <w:right w:val="single" w:sz="8" w:space="0" w:color="auto"/>
            </w:tcBorders>
            <w:shd w:val="clear" w:color="auto" w:fill="D9D9D9"/>
            <w:noWrap/>
            <w:vAlign w:val="center"/>
            <w:hideMark/>
          </w:tcPr>
          <w:p w14:paraId="0D80AFE3"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hideMark/>
          </w:tcPr>
          <w:p w14:paraId="1CE84B3E" w14:textId="77777777" w:rsidR="00CA7074" w:rsidRPr="00A76C5C" w:rsidRDefault="00CA7074" w:rsidP="00CA7074">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169B50B5" w14:textId="27F49039" w:rsidR="00CA7074" w:rsidRPr="00A76C5C" w:rsidRDefault="00CA7074" w:rsidP="00CA7074">
            <w:pPr>
              <w:contextualSpacing w:val="0"/>
              <w:jc w:val="center"/>
              <w:rPr>
                <w:rFonts w:eastAsia="Times New Roman" w:cs="Calibri"/>
                <w:color w:val="000000"/>
                <w:sz w:val="16"/>
                <w:szCs w:val="16"/>
                <w:lang w:eastAsia="nl-NL"/>
              </w:rPr>
            </w:pPr>
            <w:r w:rsidRPr="004921C3">
              <w:rPr>
                <w:rFonts w:eastAsia="Times New Roman" w:cs="Calibri"/>
                <w:color w:val="000000"/>
                <w:sz w:val="16"/>
                <w:szCs w:val="16"/>
                <w:lang w:eastAsia="nl-NL"/>
              </w:rPr>
              <w:t>Hoofd ICT</w:t>
            </w:r>
          </w:p>
        </w:tc>
      </w:tr>
      <w:tr w:rsidR="00CA7074" w:rsidRPr="00A76C5C" w14:paraId="431E2187" w14:textId="77777777" w:rsidTr="007D3670">
        <w:trPr>
          <w:trHeight w:val="240"/>
        </w:trPr>
        <w:tc>
          <w:tcPr>
            <w:tcW w:w="2253" w:type="dxa"/>
            <w:vMerge/>
            <w:tcBorders>
              <w:left w:val="single" w:sz="8" w:space="0" w:color="auto"/>
              <w:bottom w:val="single" w:sz="8" w:space="0" w:color="FFFFFF"/>
              <w:right w:val="single" w:sz="8" w:space="0" w:color="auto"/>
            </w:tcBorders>
            <w:shd w:val="clear" w:color="auto" w:fill="00B050"/>
            <w:noWrap/>
            <w:vAlign w:val="center"/>
            <w:hideMark/>
          </w:tcPr>
          <w:p w14:paraId="7F173B1D" w14:textId="77777777" w:rsidR="00CA7074" w:rsidRPr="00A76C5C" w:rsidRDefault="00CA7074" w:rsidP="00CA7074">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43D1EE"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6.3 Incidentrespons op (cyber) beveiligingsincidenten</w:t>
            </w:r>
          </w:p>
        </w:tc>
        <w:tc>
          <w:tcPr>
            <w:tcW w:w="312" w:type="dxa"/>
            <w:tcBorders>
              <w:top w:val="single" w:sz="4" w:space="0" w:color="auto"/>
              <w:left w:val="single" w:sz="4" w:space="0" w:color="auto"/>
              <w:bottom w:val="single" w:sz="8" w:space="0" w:color="auto"/>
              <w:right w:val="single" w:sz="4" w:space="0" w:color="auto"/>
            </w:tcBorders>
            <w:vAlign w:val="center"/>
          </w:tcPr>
          <w:p w14:paraId="79D95DD1"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21</w:t>
            </w:r>
          </w:p>
        </w:tc>
        <w:tc>
          <w:tcPr>
            <w:tcW w:w="567" w:type="dxa"/>
            <w:tcBorders>
              <w:top w:val="single" w:sz="4" w:space="0" w:color="auto"/>
              <w:left w:val="single" w:sz="4" w:space="0" w:color="auto"/>
              <w:bottom w:val="single" w:sz="8" w:space="0" w:color="auto"/>
              <w:right w:val="single" w:sz="4" w:space="0" w:color="auto"/>
            </w:tcBorders>
            <w:shd w:val="clear" w:color="000000" w:fill="FFFF00"/>
            <w:noWrap/>
            <w:vAlign w:val="center"/>
            <w:hideMark/>
          </w:tcPr>
          <w:p w14:paraId="22F10A45"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hideMark/>
          </w:tcPr>
          <w:p w14:paraId="1423CFE9"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hideMark/>
          </w:tcPr>
          <w:p w14:paraId="3CEBE520"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8" w:space="0" w:color="auto"/>
            </w:tcBorders>
            <w:shd w:val="clear" w:color="auto" w:fill="D9D9D9"/>
            <w:noWrap/>
            <w:vAlign w:val="center"/>
            <w:hideMark/>
          </w:tcPr>
          <w:p w14:paraId="40C1E167"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themeColor="background1"/>
              <w:right w:val="single" w:sz="8" w:space="0" w:color="auto"/>
            </w:tcBorders>
            <w:shd w:val="clear" w:color="auto" w:fill="00B050"/>
            <w:noWrap/>
            <w:vAlign w:val="center"/>
            <w:hideMark/>
          </w:tcPr>
          <w:p w14:paraId="68F11205" w14:textId="77777777" w:rsidR="00CA7074" w:rsidRPr="00A76C5C" w:rsidRDefault="00CA7074" w:rsidP="00CA7074">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034D2F59" w14:textId="79BB6B8F" w:rsidR="00CA7074" w:rsidRPr="00A76C5C" w:rsidRDefault="00CA7074" w:rsidP="00CA7074">
            <w:pPr>
              <w:contextualSpacing w:val="0"/>
              <w:jc w:val="center"/>
              <w:rPr>
                <w:rFonts w:eastAsia="Times New Roman" w:cs="Calibri"/>
                <w:color w:val="000000"/>
                <w:sz w:val="16"/>
                <w:szCs w:val="16"/>
                <w:lang w:eastAsia="nl-NL"/>
              </w:rPr>
            </w:pPr>
            <w:r w:rsidRPr="004921C3">
              <w:rPr>
                <w:rFonts w:eastAsia="Times New Roman" w:cs="Calibri"/>
                <w:color w:val="000000"/>
                <w:sz w:val="16"/>
                <w:szCs w:val="16"/>
                <w:lang w:eastAsia="nl-NL"/>
              </w:rPr>
              <w:t>Hoofd ICT</w:t>
            </w:r>
          </w:p>
        </w:tc>
      </w:tr>
      <w:tr w:rsidR="00A76C5C" w:rsidRPr="00A76C5C" w14:paraId="7F712430" w14:textId="77777777" w:rsidTr="007D3670">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00B050"/>
            <w:noWrap/>
            <w:vAlign w:val="center"/>
          </w:tcPr>
          <w:p w14:paraId="75F91AB9"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P12 Security Baselines</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083248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 Security baselines</w:t>
            </w:r>
          </w:p>
        </w:tc>
        <w:tc>
          <w:tcPr>
            <w:tcW w:w="312" w:type="dxa"/>
            <w:tcBorders>
              <w:top w:val="single" w:sz="8" w:space="0" w:color="auto"/>
              <w:left w:val="single" w:sz="4" w:space="0" w:color="auto"/>
              <w:bottom w:val="single" w:sz="8" w:space="0" w:color="auto"/>
              <w:right w:val="single" w:sz="4" w:space="0" w:color="auto"/>
            </w:tcBorders>
            <w:shd w:val="clear" w:color="auto" w:fill="auto"/>
            <w:vAlign w:val="center"/>
          </w:tcPr>
          <w:p w14:paraId="721CB8C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45</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52E9F95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750E93D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4B4A327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8" w:space="0" w:color="auto"/>
            </w:tcBorders>
            <w:shd w:val="clear" w:color="auto" w:fill="D9D9D9"/>
            <w:noWrap/>
            <w:vAlign w:val="center"/>
          </w:tcPr>
          <w:p w14:paraId="787DC76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themeColor="background1"/>
              <w:left w:val="single" w:sz="8" w:space="0" w:color="auto"/>
              <w:bottom w:val="single" w:sz="4" w:space="0" w:color="FFFFFF"/>
              <w:right w:val="single" w:sz="8" w:space="0" w:color="auto"/>
            </w:tcBorders>
            <w:shd w:val="clear" w:color="auto" w:fill="00B050"/>
            <w:noWrap/>
            <w:vAlign w:val="center"/>
          </w:tcPr>
          <w:p w14:paraId="0C58B183"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19EAD74" w14:textId="12EF7487"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College van Bestuur</w:t>
            </w:r>
          </w:p>
        </w:tc>
      </w:tr>
      <w:tr w:rsidR="00A76C5C" w:rsidRPr="00A76C5C" w14:paraId="164D4F92"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3286389A" w14:textId="77777777" w:rsidR="00A76C5C" w:rsidRPr="00A76C5C" w:rsidRDefault="00A76C5C" w:rsidP="00A76C5C">
            <w:pPr>
              <w:contextualSpacing w:val="0"/>
              <w:rPr>
                <w:rFonts w:eastAsia="Times New Roman" w:cs="Calibri"/>
                <w:b/>
                <w:bCs/>
                <w:color w:val="000000"/>
                <w:sz w:val="16"/>
                <w:szCs w:val="16"/>
                <w:lang w:eastAsia="nl-NL"/>
              </w:rPr>
            </w:pPr>
            <w:bookmarkStart w:id="39" w:name="_Hlk119238747"/>
            <w:r w:rsidRPr="00A76C5C">
              <w:rPr>
                <w:rFonts w:eastAsia="Times New Roman" w:cs="Calibri"/>
                <w:b/>
                <w:bCs/>
                <w:color w:val="FFFFFF"/>
                <w:sz w:val="16"/>
                <w:szCs w:val="16"/>
                <w:lang w:eastAsia="nl-NL"/>
              </w:rPr>
              <w:t xml:space="preserve">P13 Business Continuity </w:t>
            </w:r>
            <w:bookmarkEnd w:id="39"/>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2364CD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14.1 Bedrijfscontinuïteitsplanning</w:t>
            </w:r>
          </w:p>
        </w:tc>
        <w:tc>
          <w:tcPr>
            <w:tcW w:w="312" w:type="dxa"/>
            <w:tcBorders>
              <w:top w:val="single" w:sz="4" w:space="0" w:color="auto"/>
              <w:left w:val="single" w:sz="4" w:space="0" w:color="auto"/>
              <w:bottom w:val="single" w:sz="4" w:space="0" w:color="auto"/>
              <w:right w:val="single" w:sz="4" w:space="0" w:color="auto"/>
            </w:tcBorders>
            <w:vAlign w:val="center"/>
          </w:tcPr>
          <w:p w14:paraId="582E358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46</w:t>
            </w:r>
          </w:p>
        </w:tc>
        <w:tc>
          <w:tcPr>
            <w:tcW w:w="567" w:type="dxa"/>
            <w:tcBorders>
              <w:top w:val="single" w:sz="8" w:space="0" w:color="auto"/>
              <w:left w:val="single" w:sz="4" w:space="0" w:color="auto"/>
              <w:bottom w:val="single" w:sz="4" w:space="0" w:color="auto"/>
              <w:right w:val="single" w:sz="4" w:space="0" w:color="auto"/>
            </w:tcBorders>
            <w:shd w:val="clear" w:color="auto" w:fill="FFFF00"/>
            <w:noWrap/>
            <w:vAlign w:val="center"/>
          </w:tcPr>
          <w:p w14:paraId="7FC89E6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4E721396"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09663BA2"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8" w:space="0" w:color="auto"/>
            </w:tcBorders>
            <w:shd w:val="clear" w:color="auto" w:fill="D9D9D9"/>
            <w:noWrap/>
            <w:vAlign w:val="center"/>
          </w:tcPr>
          <w:p w14:paraId="320A7D09"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76B8B2C"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3C70D12"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Facilitair</w:t>
            </w:r>
          </w:p>
        </w:tc>
      </w:tr>
      <w:tr w:rsidR="00A76C5C" w:rsidRPr="00A76C5C" w14:paraId="1F2464CE"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2EF25A53"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7FE42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14.2 Testen van Disaster recovery</w:t>
            </w:r>
          </w:p>
        </w:tc>
        <w:tc>
          <w:tcPr>
            <w:tcW w:w="312" w:type="dxa"/>
            <w:tcBorders>
              <w:top w:val="single" w:sz="4" w:space="0" w:color="auto"/>
              <w:left w:val="single" w:sz="4" w:space="0" w:color="auto"/>
              <w:bottom w:val="single" w:sz="4" w:space="0" w:color="auto"/>
              <w:right w:val="single" w:sz="4" w:space="0" w:color="auto"/>
            </w:tcBorders>
            <w:vAlign w:val="center"/>
          </w:tcPr>
          <w:p w14:paraId="1F60FA13"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47</w:t>
            </w:r>
          </w:p>
        </w:tc>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666641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0119F716"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5C28B3B9"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2083AAE9"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6405E65"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1E7239E9"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Facilitair</w:t>
            </w:r>
          </w:p>
        </w:tc>
      </w:tr>
      <w:tr w:rsidR="00A76C5C" w:rsidRPr="00A76C5C" w14:paraId="477A2D34"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523BFF69"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C2516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14.3 Offsite back-upopslag</w:t>
            </w:r>
          </w:p>
        </w:tc>
        <w:tc>
          <w:tcPr>
            <w:tcW w:w="312" w:type="dxa"/>
            <w:tcBorders>
              <w:top w:val="single" w:sz="4" w:space="0" w:color="auto"/>
              <w:left w:val="single" w:sz="4" w:space="0" w:color="auto"/>
              <w:bottom w:val="single" w:sz="4" w:space="0" w:color="auto"/>
              <w:right w:val="single" w:sz="4" w:space="0" w:color="auto"/>
            </w:tcBorders>
            <w:vAlign w:val="center"/>
          </w:tcPr>
          <w:p w14:paraId="53BA030F"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48</w:t>
            </w:r>
          </w:p>
        </w:tc>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2142F1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B5F5A9F"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14247ABA"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5684F9E0"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4672EB14"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41B13CE6"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Facilitair</w:t>
            </w:r>
          </w:p>
        </w:tc>
      </w:tr>
      <w:tr w:rsidR="00A76C5C" w:rsidRPr="00A76C5C" w14:paraId="4C5B90FE"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35250214"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CD791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14.4 Gegevensreplicatie</w:t>
            </w:r>
          </w:p>
        </w:tc>
        <w:tc>
          <w:tcPr>
            <w:tcW w:w="312" w:type="dxa"/>
            <w:tcBorders>
              <w:top w:val="single" w:sz="4" w:space="0" w:color="auto"/>
              <w:left w:val="single" w:sz="4" w:space="0" w:color="auto"/>
              <w:bottom w:val="single" w:sz="4" w:space="0" w:color="auto"/>
              <w:right w:val="single" w:sz="4" w:space="0" w:color="auto"/>
            </w:tcBorders>
            <w:vAlign w:val="center"/>
          </w:tcPr>
          <w:p w14:paraId="50ABD15B"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49</w:t>
            </w:r>
          </w:p>
        </w:tc>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A8B740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02EE7CC6"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123557B4"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23724878"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252F749"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73E5A799"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Facilitair</w:t>
            </w:r>
          </w:p>
        </w:tc>
      </w:tr>
      <w:tr w:rsidR="00A76C5C" w:rsidRPr="00A76C5C" w14:paraId="5A53A0D4"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6FD63637"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7EAC2F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14.5 Crisisbeheer</w:t>
            </w:r>
          </w:p>
        </w:tc>
        <w:tc>
          <w:tcPr>
            <w:tcW w:w="312" w:type="dxa"/>
            <w:tcBorders>
              <w:top w:val="single" w:sz="4" w:space="0" w:color="auto"/>
              <w:left w:val="single" w:sz="4" w:space="0" w:color="auto"/>
              <w:bottom w:val="single" w:sz="8" w:space="0" w:color="auto"/>
              <w:right w:val="single" w:sz="4" w:space="0" w:color="auto"/>
            </w:tcBorders>
            <w:vAlign w:val="center"/>
          </w:tcPr>
          <w:p w14:paraId="5445147A"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50</w:t>
            </w:r>
          </w:p>
        </w:tc>
        <w:tc>
          <w:tcPr>
            <w:tcW w:w="567" w:type="dxa"/>
            <w:tcBorders>
              <w:top w:val="single" w:sz="4" w:space="0" w:color="auto"/>
              <w:left w:val="single" w:sz="4" w:space="0" w:color="auto"/>
              <w:bottom w:val="single" w:sz="8" w:space="0" w:color="auto"/>
              <w:right w:val="single" w:sz="4" w:space="0" w:color="auto"/>
            </w:tcBorders>
            <w:shd w:val="clear" w:color="auto" w:fill="FFFF00"/>
            <w:noWrap/>
            <w:vAlign w:val="center"/>
          </w:tcPr>
          <w:p w14:paraId="792F7B5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2D9C7FF8"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67E61732"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8" w:space="0" w:color="auto"/>
            </w:tcBorders>
            <w:shd w:val="clear" w:color="auto" w:fill="D9D9D9"/>
            <w:noWrap/>
            <w:vAlign w:val="center"/>
          </w:tcPr>
          <w:p w14:paraId="0114CBA9"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15D5B47D"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4279EBB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Facilitair</w:t>
            </w:r>
          </w:p>
        </w:tc>
      </w:tr>
      <w:tr w:rsidR="00CA7074" w:rsidRPr="00A76C5C" w14:paraId="74F9E622"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554DDE19" w14:textId="77777777" w:rsidR="00CA7074" w:rsidRPr="00A76C5C" w:rsidRDefault="00CA7074" w:rsidP="00CA7074">
            <w:pPr>
              <w:contextualSpacing w:val="0"/>
              <w:rPr>
                <w:rFonts w:eastAsia="Times New Roman" w:cs="Calibri"/>
                <w:b/>
                <w:bCs/>
                <w:color w:val="FFFFFF"/>
                <w:sz w:val="16"/>
                <w:szCs w:val="16"/>
                <w:lang w:eastAsia="nl-NL"/>
              </w:rPr>
            </w:pPr>
            <w:bookmarkStart w:id="40" w:name="_Hlk119238922"/>
            <w:r w:rsidRPr="00A76C5C">
              <w:rPr>
                <w:rFonts w:eastAsia="Times New Roman" w:cs="Calibri"/>
                <w:b/>
                <w:bCs/>
                <w:color w:val="FFFFFF"/>
                <w:sz w:val="16"/>
                <w:szCs w:val="16"/>
                <w:lang w:eastAsia="nl-NL"/>
              </w:rPr>
              <w:t>T15 MFA - Thuiswerken</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74E534E"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11.2 Authenticatiemechanismes</w:t>
            </w:r>
          </w:p>
        </w:tc>
        <w:tc>
          <w:tcPr>
            <w:tcW w:w="312" w:type="dxa"/>
            <w:tcBorders>
              <w:top w:val="single" w:sz="8" w:space="0" w:color="auto"/>
              <w:left w:val="single" w:sz="4" w:space="0" w:color="auto"/>
              <w:bottom w:val="single" w:sz="4" w:space="0" w:color="auto"/>
              <w:right w:val="single" w:sz="4" w:space="0" w:color="auto"/>
            </w:tcBorders>
            <w:vAlign w:val="center"/>
          </w:tcPr>
          <w:p w14:paraId="02DE923C"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55</w:t>
            </w:r>
          </w:p>
        </w:tc>
        <w:tc>
          <w:tcPr>
            <w:tcW w:w="567"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2F9CB26F"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29760D5E"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30EB8CBE"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nil"/>
              <w:bottom w:val="single" w:sz="4" w:space="0" w:color="auto"/>
              <w:right w:val="single" w:sz="8" w:space="0" w:color="auto"/>
            </w:tcBorders>
            <w:shd w:val="clear" w:color="auto" w:fill="D9D9D9"/>
            <w:noWrap/>
            <w:vAlign w:val="center"/>
          </w:tcPr>
          <w:p w14:paraId="57831456"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5AB013BD" w14:textId="77777777" w:rsidR="00CA7074" w:rsidRPr="00A76C5C" w:rsidRDefault="00CA7074" w:rsidP="00CA7074">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20K</w:t>
            </w:r>
          </w:p>
        </w:tc>
        <w:tc>
          <w:tcPr>
            <w:tcW w:w="1816" w:type="dxa"/>
            <w:gridSpan w:val="2"/>
            <w:tcBorders>
              <w:top w:val="single" w:sz="8" w:space="0" w:color="auto"/>
              <w:left w:val="single" w:sz="8" w:space="0" w:color="auto"/>
              <w:bottom w:val="single" w:sz="4" w:space="0" w:color="auto"/>
              <w:right w:val="single" w:sz="8" w:space="0" w:color="auto"/>
            </w:tcBorders>
            <w:shd w:val="clear" w:color="auto" w:fill="auto"/>
          </w:tcPr>
          <w:p w14:paraId="2FF2141A" w14:textId="35FA2F2D"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5F3D43EC"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31FEAB80" w14:textId="77777777" w:rsidR="00CA7074" w:rsidRPr="00A76C5C" w:rsidRDefault="00CA7074" w:rsidP="00CA7074">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2061ECD"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11.3 Mobiele apparaten en telewerken</w:t>
            </w:r>
          </w:p>
        </w:tc>
        <w:tc>
          <w:tcPr>
            <w:tcW w:w="312" w:type="dxa"/>
            <w:tcBorders>
              <w:top w:val="single" w:sz="4" w:space="0" w:color="auto"/>
              <w:left w:val="single" w:sz="4" w:space="0" w:color="auto"/>
              <w:bottom w:val="single" w:sz="8" w:space="0" w:color="auto"/>
              <w:right w:val="single" w:sz="4" w:space="0" w:color="auto"/>
            </w:tcBorders>
            <w:vAlign w:val="center"/>
          </w:tcPr>
          <w:p w14:paraId="0FD85506"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56</w:t>
            </w:r>
          </w:p>
        </w:tc>
        <w:tc>
          <w:tcPr>
            <w:tcW w:w="567"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794283A5"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07C14130"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1BEE85D0"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8" w:space="0" w:color="auto"/>
            </w:tcBorders>
            <w:shd w:val="clear" w:color="auto" w:fill="D9D9D9"/>
            <w:noWrap/>
            <w:vAlign w:val="center"/>
          </w:tcPr>
          <w:p w14:paraId="289038F5"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3FE5D1EA" w14:textId="77777777" w:rsidR="00CA7074" w:rsidRPr="00A76C5C" w:rsidRDefault="00CA7074" w:rsidP="00CA7074">
            <w:pPr>
              <w:contextualSpacing w:val="0"/>
              <w:jc w:val="center"/>
              <w:rPr>
                <w:rFonts w:eastAsia="Times New Roman" w:cs="Calibri"/>
                <w:b/>
                <w:bCs/>
                <w:color w:val="FFFFFF"/>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6EB2DFB6" w14:textId="7D5AAAD8"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5D79F780"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C00000"/>
            <w:noWrap/>
            <w:vAlign w:val="center"/>
          </w:tcPr>
          <w:p w14:paraId="4C63A9D9" w14:textId="77777777" w:rsidR="00CA7074" w:rsidRPr="00A76C5C" w:rsidRDefault="00CA7074" w:rsidP="00CA7074">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T16 SOC SIEM</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677C000"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11.4 Logging</w:t>
            </w:r>
          </w:p>
        </w:tc>
        <w:tc>
          <w:tcPr>
            <w:tcW w:w="312" w:type="dxa"/>
            <w:tcBorders>
              <w:top w:val="single" w:sz="8" w:space="0" w:color="auto"/>
              <w:left w:val="single" w:sz="4" w:space="0" w:color="auto"/>
              <w:bottom w:val="single" w:sz="8" w:space="0" w:color="auto"/>
              <w:right w:val="single" w:sz="4" w:space="0" w:color="auto"/>
            </w:tcBorders>
            <w:vAlign w:val="center"/>
          </w:tcPr>
          <w:p w14:paraId="5B0D957E"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57</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332CE648"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5</w:t>
            </w:r>
          </w:p>
        </w:tc>
        <w:tc>
          <w:tcPr>
            <w:tcW w:w="567" w:type="dxa"/>
            <w:tcBorders>
              <w:top w:val="single" w:sz="8" w:space="0" w:color="auto"/>
              <w:left w:val="nil"/>
              <w:bottom w:val="single" w:sz="8" w:space="0" w:color="auto"/>
              <w:right w:val="single" w:sz="4" w:space="0" w:color="auto"/>
            </w:tcBorders>
            <w:shd w:val="clear" w:color="auto" w:fill="D9D9D9"/>
            <w:noWrap/>
            <w:vAlign w:val="center"/>
          </w:tcPr>
          <w:p w14:paraId="5C8B1406"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8" w:space="0" w:color="auto"/>
              <w:right w:val="single" w:sz="4" w:space="0" w:color="auto"/>
            </w:tcBorders>
            <w:shd w:val="clear" w:color="auto" w:fill="D9D9D9"/>
            <w:noWrap/>
            <w:vAlign w:val="center"/>
          </w:tcPr>
          <w:p w14:paraId="5E8C090A"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8" w:space="0" w:color="auto"/>
              <w:right w:val="single" w:sz="8" w:space="0" w:color="auto"/>
            </w:tcBorders>
            <w:shd w:val="clear" w:color="auto" w:fill="D9D9D9"/>
            <w:noWrap/>
            <w:vAlign w:val="center"/>
          </w:tcPr>
          <w:p w14:paraId="3D439CD3"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65E41C79" w14:textId="77777777" w:rsidR="00CA7074" w:rsidRPr="00A76C5C" w:rsidRDefault="00CA7074" w:rsidP="00CA7074">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150K</w:t>
            </w: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7B253548" w14:textId="674763D0"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3DBF7E0D"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C00000"/>
            <w:noWrap/>
            <w:vAlign w:val="center"/>
          </w:tcPr>
          <w:p w14:paraId="2B18DC84" w14:textId="77777777" w:rsidR="00CA7074" w:rsidRPr="00A76C5C" w:rsidRDefault="00CA7074" w:rsidP="00CA7074">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T17 Pentesten</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3D086D2"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11.5 Testen van, inspectie van en toezicht op beveiliging</w:t>
            </w:r>
          </w:p>
        </w:tc>
        <w:tc>
          <w:tcPr>
            <w:tcW w:w="312" w:type="dxa"/>
            <w:tcBorders>
              <w:top w:val="single" w:sz="8" w:space="0" w:color="auto"/>
              <w:left w:val="single" w:sz="4" w:space="0" w:color="auto"/>
              <w:bottom w:val="single" w:sz="8" w:space="0" w:color="auto"/>
              <w:right w:val="single" w:sz="4" w:space="0" w:color="auto"/>
            </w:tcBorders>
            <w:vAlign w:val="center"/>
          </w:tcPr>
          <w:p w14:paraId="21D12273"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58</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6F234880"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nil"/>
              <w:bottom w:val="single" w:sz="8" w:space="0" w:color="auto"/>
              <w:right w:val="single" w:sz="4" w:space="0" w:color="auto"/>
            </w:tcBorders>
            <w:shd w:val="clear" w:color="auto" w:fill="D9D9D9"/>
            <w:noWrap/>
            <w:vAlign w:val="center"/>
          </w:tcPr>
          <w:p w14:paraId="37A15594"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8" w:space="0" w:color="auto"/>
              <w:right w:val="single" w:sz="4" w:space="0" w:color="auto"/>
            </w:tcBorders>
            <w:shd w:val="clear" w:color="auto" w:fill="D9D9D9"/>
            <w:noWrap/>
            <w:vAlign w:val="center"/>
          </w:tcPr>
          <w:p w14:paraId="435CEB01"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8" w:space="0" w:color="auto"/>
              <w:right w:val="single" w:sz="8" w:space="0" w:color="auto"/>
            </w:tcBorders>
            <w:shd w:val="clear" w:color="auto" w:fill="D9D9D9"/>
            <w:noWrap/>
            <w:vAlign w:val="center"/>
          </w:tcPr>
          <w:p w14:paraId="5EB04FD7"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2CF3DA13" w14:textId="77777777" w:rsidR="00CA7074" w:rsidRPr="00A76C5C" w:rsidRDefault="00CA7074" w:rsidP="00CA7074">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50K</w:t>
            </w: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2201E51E" w14:textId="303A30B2"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22931421" w14:textId="77777777" w:rsidTr="00A76C5C">
        <w:trPr>
          <w:trHeight w:val="250"/>
        </w:trPr>
        <w:tc>
          <w:tcPr>
            <w:tcW w:w="2253" w:type="dxa"/>
            <w:vMerge w:val="restart"/>
            <w:tcBorders>
              <w:top w:val="single" w:sz="8" w:space="0" w:color="FFFFFF"/>
              <w:left w:val="single" w:sz="8" w:space="0" w:color="auto"/>
              <w:right w:val="single" w:sz="8" w:space="0" w:color="auto"/>
            </w:tcBorders>
            <w:shd w:val="clear" w:color="auto" w:fill="C00000"/>
            <w:noWrap/>
            <w:vAlign w:val="center"/>
          </w:tcPr>
          <w:p w14:paraId="76537D81" w14:textId="77777777" w:rsidR="00CA7074" w:rsidRPr="00A76C5C" w:rsidRDefault="00CA7074" w:rsidP="00CA7074">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T18 Patchbeheer</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C02B452"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11.6 Patchbeheer</w:t>
            </w:r>
          </w:p>
        </w:tc>
        <w:tc>
          <w:tcPr>
            <w:tcW w:w="312" w:type="dxa"/>
            <w:tcBorders>
              <w:top w:val="single" w:sz="8" w:space="0" w:color="auto"/>
              <w:left w:val="single" w:sz="4" w:space="0" w:color="auto"/>
              <w:bottom w:val="single" w:sz="4" w:space="0" w:color="auto"/>
              <w:right w:val="single" w:sz="4" w:space="0" w:color="auto"/>
            </w:tcBorders>
            <w:vAlign w:val="center"/>
          </w:tcPr>
          <w:p w14:paraId="0ECCB4BD"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59</w:t>
            </w:r>
          </w:p>
        </w:tc>
        <w:tc>
          <w:tcPr>
            <w:tcW w:w="567"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5E3E6F61"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1C43C956"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6F8FADB3"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8" w:space="0" w:color="auto"/>
            </w:tcBorders>
            <w:shd w:val="clear" w:color="auto" w:fill="D9D9D9"/>
            <w:noWrap/>
            <w:vAlign w:val="center"/>
          </w:tcPr>
          <w:p w14:paraId="76079479"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1BD7EE41" w14:textId="77777777" w:rsidR="00CA7074" w:rsidRPr="00A76C5C" w:rsidRDefault="00CA7074" w:rsidP="00CA7074">
            <w:pPr>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30K</w:t>
            </w: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45DBF6AD" w14:textId="7879F04D"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77FC90AA"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C00000"/>
            <w:noWrap/>
            <w:vAlign w:val="center"/>
          </w:tcPr>
          <w:p w14:paraId="7F780230" w14:textId="77777777" w:rsidR="00CA7074" w:rsidRPr="00A76C5C" w:rsidRDefault="00CA7074" w:rsidP="00CA7074">
            <w:pPr>
              <w:contextualSpacing w:val="0"/>
              <w:rPr>
                <w:rFonts w:eastAsia="Times New Roman" w:cs="Calibri"/>
                <w:b/>
                <w:bCs/>
                <w:color w:val="FFFFFF"/>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9F8E13A"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11.7 Beheer van bedreigingen en kwetsbaarheden</w:t>
            </w:r>
          </w:p>
        </w:tc>
        <w:tc>
          <w:tcPr>
            <w:tcW w:w="312" w:type="dxa"/>
            <w:tcBorders>
              <w:top w:val="single" w:sz="4" w:space="0" w:color="auto"/>
              <w:left w:val="single" w:sz="4" w:space="0" w:color="auto"/>
              <w:bottom w:val="single" w:sz="8" w:space="0" w:color="auto"/>
              <w:right w:val="single" w:sz="4" w:space="0" w:color="auto"/>
            </w:tcBorders>
            <w:vAlign w:val="center"/>
          </w:tcPr>
          <w:p w14:paraId="1BE5363B"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60</w:t>
            </w:r>
          </w:p>
        </w:tc>
        <w:tc>
          <w:tcPr>
            <w:tcW w:w="567"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435E25D6"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0DDE699F"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2886BB4D"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8" w:space="0" w:color="auto"/>
            </w:tcBorders>
            <w:shd w:val="clear" w:color="auto" w:fill="D9D9D9"/>
            <w:noWrap/>
            <w:vAlign w:val="center"/>
          </w:tcPr>
          <w:p w14:paraId="53CC37D6"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5C86F5CA" w14:textId="77777777" w:rsidR="00CA7074" w:rsidRPr="00A76C5C" w:rsidRDefault="00CA7074" w:rsidP="00CA7074">
            <w:pPr>
              <w:contextualSpacing w:val="0"/>
              <w:jc w:val="center"/>
              <w:rPr>
                <w:rFonts w:eastAsia="Times New Roman" w:cs="Calibri"/>
                <w:b/>
                <w:bCs/>
                <w:color w:val="FFFFFF"/>
                <w:sz w:val="16"/>
                <w:szCs w:val="16"/>
                <w:lang w:eastAsia="nl-NL"/>
              </w:rPr>
            </w:pPr>
          </w:p>
        </w:tc>
        <w:tc>
          <w:tcPr>
            <w:tcW w:w="1816" w:type="dxa"/>
            <w:gridSpan w:val="2"/>
            <w:tcBorders>
              <w:top w:val="single" w:sz="4" w:space="0" w:color="auto"/>
              <w:left w:val="single" w:sz="8" w:space="0" w:color="auto"/>
              <w:bottom w:val="single" w:sz="4" w:space="0" w:color="auto"/>
              <w:right w:val="single" w:sz="8" w:space="0" w:color="auto"/>
            </w:tcBorders>
            <w:shd w:val="clear" w:color="auto" w:fill="auto"/>
          </w:tcPr>
          <w:p w14:paraId="4090398C" w14:textId="440B51D1"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tr w:rsidR="00CA7074" w:rsidRPr="00A76C5C" w14:paraId="33C5BD68" w14:textId="77777777" w:rsidTr="00A76C5C">
        <w:trPr>
          <w:trHeight w:val="250"/>
        </w:trPr>
        <w:tc>
          <w:tcPr>
            <w:tcW w:w="2253" w:type="dxa"/>
            <w:tcBorders>
              <w:left w:val="single" w:sz="8" w:space="0" w:color="auto"/>
              <w:right w:val="single" w:sz="8" w:space="0" w:color="auto"/>
            </w:tcBorders>
            <w:shd w:val="clear" w:color="auto" w:fill="C00000"/>
            <w:noWrap/>
            <w:vAlign w:val="center"/>
          </w:tcPr>
          <w:p w14:paraId="2F46BDAC"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b/>
                <w:bCs/>
                <w:color w:val="FFFFFF"/>
                <w:sz w:val="16"/>
                <w:szCs w:val="16"/>
                <w:lang w:eastAsia="nl-NL"/>
              </w:rPr>
              <w:t>T21 Computer Operations</w:t>
            </w: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E74953"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13.2 Procedures voor back-up en herstel</w:t>
            </w:r>
          </w:p>
        </w:tc>
        <w:tc>
          <w:tcPr>
            <w:tcW w:w="312" w:type="dxa"/>
            <w:tcBorders>
              <w:top w:val="single" w:sz="4" w:space="0" w:color="auto"/>
              <w:left w:val="single" w:sz="4" w:space="0" w:color="auto"/>
              <w:bottom w:val="single" w:sz="4" w:space="0" w:color="auto"/>
              <w:right w:val="single" w:sz="4" w:space="0" w:color="auto"/>
            </w:tcBorders>
            <w:vAlign w:val="center"/>
          </w:tcPr>
          <w:p w14:paraId="0EF4C6D4" w14:textId="77777777" w:rsidR="00CA7074" w:rsidRPr="00A76C5C" w:rsidRDefault="00CA7074" w:rsidP="00CA7074">
            <w:pPr>
              <w:contextualSpacing w:val="0"/>
              <w:rPr>
                <w:rFonts w:eastAsia="Times New Roman" w:cs="Calibri"/>
                <w:b/>
                <w:bCs/>
                <w:sz w:val="16"/>
                <w:szCs w:val="16"/>
                <w:lang w:eastAsia="nl-NL"/>
              </w:rPr>
            </w:pPr>
            <w:r w:rsidRPr="00A76C5C">
              <w:rPr>
                <w:rFonts w:eastAsia="Times New Roman" w:cs="Calibri"/>
                <w:b/>
                <w:bCs/>
                <w:sz w:val="16"/>
                <w:szCs w:val="16"/>
                <w:lang w:eastAsia="nl-NL"/>
              </w:rPr>
              <w:t>68</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F7C660A"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42638239"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E879075"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31BDCAD8"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auto"/>
              <w:right w:val="single" w:sz="8" w:space="0" w:color="auto"/>
            </w:tcBorders>
            <w:shd w:val="clear" w:color="auto" w:fill="C00000"/>
            <w:noWrap/>
            <w:vAlign w:val="center"/>
          </w:tcPr>
          <w:p w14:paraId="591BA180" w14:textId="77777777" w:rsidR="00CA7074" w:rsidRPr="00A76C5C" w:rsidRDefault="00CA7074" w:rsidP="00CA7074">
            <w:pPr>
              <w:contextualSpacing w:val="0"/>
              <w:jc w:val="center"/>
              <w:rPr>
                <w:rFonts w:eastAsia="Times New Roman" w:cs="Calibri"/>
                <w:color w:val="C00000"/>
                <w:sz w:val="16"/>
                <w:szCs w:val="16"/>
                <w:lang w:eastAsia="nl-NL"/>
              </w:rPr>
            </w:pPr>
          </w:p>
        </w:tc>
        <w:tc>
          <w:tcPr>
            <w:tcW w:w="1816" w:type="dxa"/>
            <w:gridSpan w:val="2"/>
            <w:tcBorders>
              <w:top w:val="single" w:sz="4" w:space="0" w:color="auto"/>
              <w:left w:val="single" w:sz="8" w:space="0" w:color="auto"/>
              <w:bottom w:val="single" w:sz="8" w:space="0" w:color="auto"/>
              <w:right w:val="single" w:sz="8" w:space="0" w:color="auto"/>
            </w:tcBorders>
            <w:shd w:val="clear" w:color="auto" w:fill="auto"/>
          </w:tcPr>
          <w:p w14:paraId="140F8DF5" w14:textId="414CD199" w:rsidR="00CA7074" w:rsidRPr="00A76C5C" w:rsidRDefault="00CA7074" w:rsidP="00CA7074">
            <w:pPr>
              <w:contextualSpacing w:val="0"/>
              <w:jc w:val="center"/>
              <w:rPr>
                <w:rFonts w:eastAsia="Times New Roman" w:cs="Calibri"/>
                <w:sz w:val="16"/>
                <w:szCs w:val="16"/>
                <w:lang w:eastAsia="nl-NL"/>
              </w:rPr>
            </w:pPr>
            <w:r w:rsidRPr="00E14B20">
              <w:rPr>
                <w:rFonts w:eastAsia="Times New Roman" w:cs="Calibri"/>
                <w:color w:val="000000"/>
                <w:sz w:val="16"/>
                <w:szCs w:val="16"/>
                <w:lang w:eastAsia="nl-NL"/>
              </w:rPr>
              <w:t>Hoofd ICT</w:t>
            </w:r>
          </w:p>
        </w:tc>
      </w:tr>
      <w:bookmarkEnd w:id="40"/>
      <w:tr w:rsidR="00A76C5C" w:rsidRPr="00A76C5C" w14:paraId="2D0A4144" w14:textId="77777777" w:rsidTr="00A76C5C">
        <w:trPr>
          <w:gridAfter w:val="1"/>
          <w:wAfter w:w="296" w:type="dxa"/>
          <w:cantSplit/>
          <w:trHeight w:val="1134"/>
        </w:trPr>
        <w:tc>
          <w:tcPr>
            <w:tcW w:w="225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4000A9C" w14:textId="77777777" w:rsidR="00A76C5C" w:rsidRPr="00A76C5C" w:rsidRDefault="00A76C5C" w:rsidP="00A76C5C">
            <w:pPr>
              <w:contextualSpacing w:val="0"/>
              <w:rPr>
                <w:rFonts w:eastAsia="Times New Roman" w:cs="Calibri"/>
                <w:color w:val="000000"/>
                <w:sz w:val="14"/>
                <w:szCs w:val="14"/>
                <w:lang w:eastAsia="nl-NL"/>
              </w:rPr>
            </w:pPr>
          </w:p>
        </w:tc>
        <w:tc>
          <w:tcPr>
            <w:tcW w:w="509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0A3D59E" w14:textId="77777777" w:rsidR="00A76C5C" w:rsidRPr="00A76C5C" w:rsidRDefault="00A76C5C" w:rsidP="00A76C5C">
            <w:pPr>
              <w:contextualSpacing w:val="0"/>
              <w:rPr>
                <w:rFonts w:eastAsia="Times New Roman" w:cs="Calibri"/>
                <w:color w:val="000000"/>
                <w:sz w:val="32"/>
                <w:szCs w:val="32"/>
                <w:lang w:eastAsia="nl-NL"/>
              </w:rPr>
            </w:pPr>
            <w:r w:rsidRPr="00A76C5C">
              <w:rPr>
                <w:rFonts w:eastAsia="Times New Roman" w:cs="Calibri"/>
                <w:b/>
                <w:bCs/>
                <w:color w:val="000000"/>
                <w:sz w:val="32"/>
                <w:szCs w:val="32"/>
                <w:lang w:eastAsia="nl-NL"/>
              </w:rPr>
              <w:t>Gegeven risicoscore (Netto score)</w:t>
            </w:r>
          </w:p>
        </w:tc>
        <w:tc>
          <w:tcPr>
            <w:tcW w:w="312" w:type="dxa"/>
            <w:tcBorders>
              <w:top w:val="single" w:sz="8" w:space="0" w:color="auto"/>
              <w:left w:val="single" w:sz="4" w:space="0" w:color="auto"/>
              <w:bottom w:val="single" w:sz="8" w:space="0" w:color="auto"/>
              <w:right w:val="nil"/>
            </w:tcBorders>
            <w:vAlign w:val="center"/>
          </w:tcPr>
          <w:p w14:paraId="3846EB29" w14:textId="77777777" w:rsidR="00A76C5C" w:rsidRPr="00A76C5C" w:rsidRDefault="00A76C5C" w:rsidP="00A76C5C">
            <w:pPr>
              <w:contextualSpacing w:val="0"/>
              <w:rPr>
                <w:rFonts w:eastAsia="Times New Roman" w:cs="Calibri"/>
                <w:b/>
                <w:bCs/>
                <w:sz w:val="14"/>
                <w:szCs w:val="14"/>
                <w:lang w:eastAsia="nl-NL"/>
              </w:rPr>
            </w:pPr>
          </w:p>
        </w:tc>
        <w:tc>
          <w:tcPr>
            <w:tcW w:w="567" w:type="dxa"/>
            <w:tcBorders>
              <w:top w:val="single" w:sz="8" w:space="0" w:color="auto"/>
              <w:left w:val="single" w:sz="4" w:space="0" w:color="auto"/>
              <w:bottom w:val="single" w:sz="8" w:space="0" w:color="auto"/>
              <w:right w:val="single" w:sz="4" w:space="0" w:color="auto"/>
            </w:tcBorders>
            <w:shd w:val="clear" w:color="auto" w:fill="00B0F0"/>
            <w:noWrap/>
            <w:textDirection w:val="tbRl"/>
            <w:vAlign w:val="center"/>
          </w:tcPr>
          <w:p w14:paraId="13B858CB"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R2</w:t>
            </w:r>
          </w:p>
          <w:p w14:paraId="22330F82"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Ransomware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1BE6A4B4"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R3</w:t>
            </w:r>
          </w:p>
          <w:p w14:paraId="7A4942E3"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Cloud</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6797F2D4"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R4</w:t>
            </w:r>
          </w:p>
          <w:p w14:paraId="4B4B8C4D"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Identiteitsfraude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2C524548"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R5</w:t>
            </w:r>
          </w:p>
          <w:p w14:paraId="6B38B6CB"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tcPr>
          <w:p w14:paraId="79C96934" w14:textId="77777777" w:rsidR="00A76C5C" w:rsidRPr="00A76C5C" w:rsidRDefault="00A76C5C" w:rsidP="00A76C5C">
            <w:pPr>
              <w:contextualSpacing w:val="0"/>
              <w:jc w:val="center"/>
              <w:rPr>
                <w:rFonts w:eastAsia="Times New Roman" w:cs="Calibri"/>
                <w:color w:val="000000"/>
                <w:sz w:val="14"/>
                <w:szCs w:val="14"/>
                <w:lang w:eastAsia="nl-NL"/>
              </w:rPr>
            </w:pPr>
          </w:p>
        </w:tc>
        <w:tc>
          <w:tcPr>
            <w:tcW w:w="1520" w:type="dxa"/>
            <w:tcBorders>
              <w:top w:val="single" w:sz="8" w:space="0" w:color="auto"/>
              <w:left w:val="nil"/>
              <w:bottom w:val="single" w:sz="8" w:space="0" w:color="FFFFFF"/>
              <w:right w:val="single" w:sz="8" w:space="0" w:color="FFFFFF"/>
            </w:tcBorders>
          </w:tcPr>
          <w:p w14:paraId="3ED5D99D" w14:textId="77777777" w:rsidR="00A76C5C" w:rsidRPr="00A76C5C" w:rsidRDefault="00A76C5C" w:rsidP="00A76C5C">
            <w:pPr>
              <w:contextualSpacing w:val="0"/>
              <w:jc w:val="center"/>
              <w:rPr>
                <w:rFonts w:eastAsia="Times New Roman" w:cs="Calibri"/>
                <w:color w:val="000000"/>
                <w:sz w:val="14"/>
                <w:szCs w:val="14"/>
                <w:lang w:eastAsia="nl-NL"/>
              </w:rPr>
            </w:pPr>
          </w:p>
        </w:tc>
      </w:tr>
    </w:tbl>
    <w:p w14:paraId="7D769063" w14:textId="77777777" w:rsidR="00A76C5C" w:rsidRPr="00A76C5C" w:rsidRDefault="00A76C5C" w:rsidP="007D3670">
      <w:pPr>
        <w:keepNext/>
        <w:keepLines/>
        <w:spacing w:before="40" w:line="259" w:lineRule="auto"/>
        <w:contextualSpacing w:val="0"/>
        <w:outlineLvl w:val="1"/>
        <w:rPr>
          <w:rFonts w:ascii="Calibri Light" w:eastAsia="Times New Roman" w:hAnsi="Calibri Light"/>
          <w:b/>
          <w:color w:val="2F5496"/>
          <w:sz w:val="26"/>
          <w:szCs w:val="26"/>
        </w:rPr>
      </w:pPr>
    </w:p>
    <w:p w14:paraId="488E1921" w14:textId="77777777" w:rsidR="00A76C5C" w:rsidRPr="00A76C5C" w:rsidRDefault="00A76C5C" w:rsidP="00A76C5C">
      <w:pPr>
        <w:spacing w:after="160" w:line="259" w:lineRule="auto"/>
        <w:contextualSpacing w:val="0"/>
        <w:rPr>
          <w:i/>
          <w:iCs/>
          <w:szCs w:val="22"/>
        </w:rPr>
      </w:pPr>
      <w:bookmarkStart w:id="41" w:name="_Hlk119239528"/>
      <w:r w:rsidRPr="00A76C5C">
        <w:rPr>
          <w:b/>
          <w:bCs/>
          <w:i/>
          <w:iCs/>
          <w:color w:val="0070C0"/>
          <w:szCs w:val="22"/>
        </w:rPr>
        <w:t>Leidend</w:t>
      </w:r>
      <w:r w:rsidRPr="00A76C5C">
        <w:rPr>
          <w:i/>
          <w:iCs/>
          <w:szCs w:val="22"/>
        </w:rPr>
        <w:t xml:space="preserve">: </w:t>
      </w:r>
      <w:bookmarkEnd w:id="41"/>
      <w:r w:rsidRPr="00A76C5C">
        <w:rPr>
          <w:i/>
          <w:iCs/>
          <w:szCs w:val="22"/>
        </w:rPr>
        <w:t>De Governance en training Veiligheidsbewustzijn is geregeld.</w:t>
      </w:r>
    </w:p>
    <w:p w14:paraId="0E66E7E0" w14:textId="77777777" w:rsidR="00A76C5C" w:rsidRPr="00A76C5C" w:rsidRDefault="00A76C5C" w:rsidP="00A76C5C">
      <w:pPr>
        <w:spacing w:after="160" w:line="259" w:lineRule="auto"/>
        <w:contextualSpacing w:val="0"/>
        <w:rPr>
          <w:rFonts w:eastAsia="Times New Roman"/>
          <w:i/>
          <w:iCs/>
          <w:szCs w:val="22"/>
        </w:rPr>
      </w:pPr>
      <w:r w:rsidRPr="00A76C5C">
        <w:rPr>
          <w:i/>
          <w:iCs/>
          <w:szCs w:val="22"/>
        </w:rPr>
        <w:t xml:space="preserve">Documenten  </w:t>
      </w:r>
      <w:r w:rsidRPr="00A76C5C">
        <w:rPr>
          <w:rFonts w:eastAsia="Times New Roman" w:cs="Calibri"/>
          <w:b/>
          <w:bCs/>
          <w:color w:val="FFFFFF"/>
          <w:sz w:val="16"/>
          <w:szCs w:val="16"/>
          <w:shd w:val="clear" w:color="auto" w:fill="00B050"/>
          <w:lang w:eastAsia="nl-NL"/>
        </w:rPr>
        <w:t>P09 ITIL</w:t>
      </w:r>
      <w:r w:rsidRPr="00A76C5C">
        <w:rPr>
          <w:rFonts w:eastAsia="Times New Roman"/>
          <w:szCs w:val="22"/>
        </w:rPr>
        <w:t xml:space="preserve">, </w:t>
      </w:r>
      <w:r w:rsidRPr="00A76C5C">
        <w:rPr>
          <w:rFonts w:eastAsia="Times New Roman" w:cs="Calibri"/>
          <w:b/>
          <w:bCs/>
          <w:color w:val="FFFFFF"/>
          <w:sz w:val="16"/>
          <w:szCs w:val="16"/>
          <w:shd w:val="clear" w:color="auto" w:fill="00B050"/>
          <w:lang w:eastAsia="nl-NL"/>
        </w:rPr>
        <w:t>P12 Security Baselines</w:t>
      </w:r>
      <w:r w:rsidRPr="00A76C5C">
        <w:rPr>
          <w:rFonts w:eastAsia="Times New Roman"/>
          <w:szCs w:val="22"/>
        </w:rPr>
        <w:t xml:space="preserve"> </w:t>
      </w:r>
      <w:r w:rsidRPr="00A76C5C">
        <w:rPr>
          <w:rFonts w:eastAsia="Times New Roman"/>
          <w:i/>
          <w:iCs/>
          <w:szCs w:val="22"/>
        </w:rPr>
        <w:t xml:space="preserve">en </w:t>
      </w:r>
      <w:r w:rsidRPr="00A76C5C">
        <w:rPr>
          <w:rFonts w:eastAsia="Times New Roman" w:cs="Calibri"/>
          <w:b/>
          <w:bCs/>
          <w:color w:val="FFFFFF"/>
          <w:sz w:val="16"/>
          <w:szCs w:val="16"/>
          <w:shd w:val="clear" w:color="auto" w:fill="00B050"/>
          <w:lang w:eastAsia="nl-NL"/>
        </w:rPr>
        <w:t>P13 Business Continuity</w:t>
      </w:r>
      <w:r w:rsidRPr="00A76C5C">
        <w:rPr>
          <w:rFonts w:eastAsia="Times New Roman" w:cs="Calibri"/>
          <w:b/>
          <w:bCs/>
          <w:color w:val="FFFFFF"/>
          <w:sz w:val="16"/>
          <w:szCs w:val="16"/>
          <w:lang w:eastAsia="nl-NL"/>
        </w:rPr>
        <w:t xml:space="preserve">. </w:t>
      </w:r>
      <w:r w:rsidRPr="00A76C5C">
        <w:rPr>
          <w:i/>
          <w:iCs/>
          <w:szCs w:val="22"/>
        </w:rPr>
        <w:t>zijn</w:t>
      </w:r>
      <w:r w:rsidRPr="00A76C5C">
        <w:rPr>
          <w:rFonts w:eastAsia="Times New Roman"/>
          <w:szCs w:val="22"/>
        </w:rPr>
        <w:t xml:space="preserve"> </w:t>
      </w:r>
      <w:r w:rsidRPr="00A76C5C">
        <w:rPr>
          <w:rFonts w:eastAsia="Times New Roman"/>
          <w:i/>
          <w:iCs/>
          <w:szCs w:val="22"/>
        </w:rPr>
        <w:t>in 2023 vastgesteld.</w:t>
      </w:r>
    </w:p>
    <w:p w14:paraId="1CDA2A89" w14:textId="77777777" w:rsidR="00A76C5C" w:rsidRPr="00A76C5C" w:rsidRDefault="00A76C5C" w:rsidP="00A76C5C">
      <w:pPr>
        <w:spacing w:after="160" w:line="259" w:lineRule="auto"/>
        <w:contextualSpacing w:val="0"/>
        <w:rPr>
          <w:rFonts w:eastAsia="Times New Roman"/>
          <w:i/>
          <w:iCs/>
          <w:szCs w:val="22"/>
        </w:rPr>
      </w:pPr>
      <w:r w:rsidRPr="00A76C5C">
        <w:rPr>
          <w:rFonts w:eastAsia="Times New Roman"/>
          <w:b/>
          <w:bCs/>
          <w:szCs w:val="22"/>
          <w:shd w:val="clear" w:color="auto" w:fill="C00000"/>
        </w:rPr>
        <w:t>T15 MFA – Thuiswerken</w:t>
      </w:r>
      <w:r w:rsidRPr="00A76C5C">
        <w:rPr>
          <w:rFonts w:eastAsia="Times New Roman"/>
          <w:b/>
          <w:bCs/>
          <w:szCs w:val="22"/>
        </w:rPr>
        <w:t xml:space="preserve">, </w:t>
      </w:r>
      <w:r w:rsidRPr="00A76C5C">
        <w:rPr>
          <w:rFonts w:eastAsia="Times New Roman"/>
          <w:b/>
          <w:bCs/>
          <w:szCs w:val="22"/>
          <w:shd w:val="clear" w:color="auto" w:fill="C00000"/>
        </w:rPr>
        <w:t>T16 SOC SIEM</w:t>
      </w:r>
      <w:r w:rsidRPr="00A76C5C">
        <w:rPr>
          <w:rFonts w:eastAsia="Times New Roman"/>
          <w:szCs w:val="22"/>
        </w:rPr>
        <w:t xml:space="preserve">, </w:t>
      </w:r>
      <w:r w:rsidRPr="00A76C5C">
        <w:rPr>
          <w:rFonts w:eastAsia="Times New Roman"/>
          <w:b/>
          <w:bCs/>
          <w:szCs w:val="22"/>
          <w:shd w:val="clear" w:color="auto" w:fill="C00000"/>
        </w:rPr>
        <w:t>T17 Pentesten</w:t>
      </w:r>
      <w:r w:rsidRPr="00A76C5C">
        <w:rPr>
          <w:rFonts w:eastAsia="Times New Roman"/>
          <w:szCs w:val="22"/>
        </w:rPr>
        <w:t xml:space="preserve">, </w:t>
      </w:r>
      <w:r w:rsidRPr="00A76C5C">
        <w:rPr>
          <w:rFonts w:eastAsia="Times New Roman"/>
          <w:b/>
          <w:bCs/>
          <w:szCs w:val="22"/>
          <w:shd w:val="clear" w:color="auto" w:fill="C00000"/>
        </w:rPr>
        <w:t>T18 Patchbeheer</w:t>
      </w:r>
      <w:r w:rsidRPr="00A76C5C">
        <w:rPr>
          <w:rFonts w:eastAsia="Times New Roman"/>
          <w:szCs w:val="22"/>
        </w:rPr>
        <w:t xml:space="preserve"> </w:t>
      </w:r>
      <w:r w:rsidRPr="00A76C5C">
        <w:rPr>
          <w:rFonts w:eastAsia="Times New Roman"/>
          <w:i/>
          <w:iCs/>
          <w:szCs w:val="22"/>
        </w:rPr>
        <w:t>en</w:t>
      </w:r>
      <w:r w:rsidRPr="00A76C5C">
        <w:rPr>
          <w:rFonts w:eastAsia="Times New Roman"/>
          <w:szCs w:val="22"/>
        </w:rPr>
        <w:t xml:space="preserve"> </w:t>
      </w:r>
      <w:r w:rsidRPr="00A76C5C">
        <w:rPr>
          <w:rFonts w:eastAsia="Times New Roman"/>
          <w:b/>
          <w:bCs/>
          <w:szCs w:val="22"/>
          <w:shd w:val="clear" w:color="auto" w:fill="C00000"/>
        </w:rPr>
        <w:t>T21 Computer Operations</w:t>
      </w:r>
      <w:r w:rsidRPr="00A76C5C">
        <w:rPr>
          <w:rFonts w:eastAsia="Times New Roman"/>
          <w:szCs w:val="22"/>
        </w:rPr>
        <w:t xml:space="preserve"> </w:t>
      </w:r>
      <w:r w:rsidRPr="00A76C5C">
        <w:rPr>
          <w:rFonts w:eastAsia="Times New Roman"/>
          <w:i/>
          <w:iCs/>
          <w:szCs w:val="22"/>
        </w:rPr>
        <w:t>zijn in 2023 vastgesteld.</w:t>
      </w:r>
    </w:p>
    <w:p w14:paraId="789E790C" w14:textId="77777777" w:rsidR="00A76C5C" w:rsidRPr="00A76C5C" w:rsidRDefault="00A76C5C" w:rsidP="00A76C5C">
      <w:pPr>
        <w:spacing w:after="160" w:line="259" w:lineRule="auto"/>
        <w:contextualSpacing w:val="0"/>
        <w:rPr>
          <w:rFonts w:eastAsia="Times New Roman"/>
          <w:szCs w:val="22"/>
        </w:rPr>
      </w:pPr>
      <w:r w:rsidRPr="00A76C5C">
        <w:rPr>
          <w:rFonts w:eastAsia="Times New Roman"/>
          <w:szCs w:val="22"/>
        </w:rPr>
        <w:lastRenderedPageBreak/>
        <w:t>Om ransomware te voorkomen geeft het NCSC (Nationaal Cyber Security Centrum) een aantal tips, die een rol spelen in de verschillende fasen van een aanval.</w:t>
      </w:r>
    </w:p>
    <w:p w14:paraId="7296B2CC" w14:textId="4E57C321" w:rsidR="00A76C5C" w:rsidRPr="00A76C5C" w:rsidRDefault="00A76C5C" w:rsidP="007D3670">
      <w:pPr>
        <w:pStyle w:val="Lijstalinea"/>
        <w:numPr>
          <w:ilvl w:val="0"/>
          <w:numId w:val="7"/>
        </w:numPr>
      </w:pPr>
      <w:r w:rsidRPr="00A76C5C">
        <w:t xml:space="preserve">Bescherm je organisatie tegen phishing </w:t>
      </w:r>
      <w:r w:rsidRPr="00A76C5C">
        <w:tab/>
      </w:r>
      <w:r w:rsidRPr="00A76C5C">
        <w:tab/>
      </w:r>
      <w:r w:rsidRPr="00A76C5C">
        <w:tab/>
      </w:r>
      <w:r w:rsidRPr="00A76C5C">
        <w:tab/>
      </w:r>
      <w:r w:rsidRPr="00A76C5C">
        <w:tab/>
      </w:r>
      <w:r w:rsidRPr="00A76C5C">
        <w:tab/>
      </w:r>
      <w:r w:rsidRPr="00A76C5C">
        <w:tab/>
      </w:r>
    </w:p>
    <w:p w14:paraId="1A563C9D" w14:textId="71143B3E" w:rsidR="00A76C5C" w:rsidRPr="00A76C5C" w:rsidRDefault="00A76C5C" w:rsidP="007D3670">
      <w:pPr>
        <w:pStyle w:val="Lijstalinea"/>
        <w:numPr>
          <w:ilvl w:val="0"/>
          <w:numId w:val="7"/>
        </w:numPr>
      </w:pPr>
      <w:r w:rsidRPr="00A76C5C">
        <w:t>Organiseer vulnerability management, patchmanagement en netwerksegmentering</w:t>
      </w:r>
      <w:r w:rsidRPr="00A76C5C">
        <w:tab/>
      </w:r>
      <w:r w:rsidRPr="00A76C5C">
        <w:tab/>
      </w:r>
    </w:p>
    <w:p w14:paraId="79601A4A" w14:textId="7F6C9DC7" w:rsidR="00A76C5C" w:rsidRPr="00A76C5C" w:rsidRDefault="00A76C5C" w:rsidP="007D3670">
      <w:pPr>
        <w:pStyle w:val="Lijstalinea"/>
        <w:numPr>
          <w:ilvl w:val="0"/>
          <w:numId w:val="7"/>
        </w:numPr>
      </w:pPr>
      <w:r w:rsidRPr="00A76C5C">
        <w:t xml:space="preserve">Beperk de mogelijkheden van code </w:t>
      </w:r>
      <w:proofErr w:type="spellStart"/>
      <w:r w:rsidRPr="00A76C5C">
        <w:t>execution</w:t>
      </w:r>
      <w:proofErr w:type="spellEnd"/>
      <w:r w:rsidRPr="00A76C5C">
        <w:t xml:space="preserve"> </w:t>
      </w:r>
    </w:p>
    <w:p w14:paraId="76DD7F1E" w14:textId="34804382" w:rsidR="00A76C5C" w:rsidRPr="00A76C5C" w:rsidRDefault="00A76C5C" w:rsidP="007D3670">
      <w:pPr>
        <w:pStyle w:val="Lijstalinea"/>
        <w:numPr>
          <w:ilvl w:val="0"/>
          <w:numId w:val="7"/>
        </w:numPr>
      </w:pPr>
      <w:r w:rsidRPr="00A76C5C">
        <w:t xml:space="preserve">Filter webbrowserverkeer </w:t>
      </w:r>
    </w:p>
    <w:p w14:paraId="2A629404" w14:textId="27339565" w:rsidR="00A76C5C" w:rsidRPr="00A76C5C" w:rsidRDefault="00A76C5C" w:rsidP="007D3670">
      <w:pPr>
        <w:pStyle w:val="Lijstalinea"/>
        <w:numPr>
          <w:ilvl w:val="0"/>
          <w:numId w:val="7"/>
        </w:numPr>
      </w:pPr>
      <w:r w:rsidRPr="00A76C5C">
        <w:t xml:space="preserve">Beperk het gebruik van USB-sticks </w:t>
      </w:r>
    </w:p>
    <w:p w14:paraId="22D52982" w14:textId="77777777" w:rsidR="00A76C5C" w:rsidRPr="00A76C5C" w:rsidRDefault="00A76C5C" w:rsidP="00A76C5C">
      <w:pPr>
        <w:spacing w:after="160" w:line="259" w:lineRule="auto"/>
        <w:contextualSpacing w:val="0"/>
        <w:rPr>
          <w:rFonts w:eastAsia="Times New Roman"/>
          <w:szCs w:val="22"/>
        </w:rPr>
      </w:pPr>
    </w:p>
    <w:p w14:paraId="66A621B6" w14:textId="77777777" w:rsidR="00A76C5C" w:rsidRPr="00A76C5C" w:rsidRDefault="00A76C5C" w:rsidP="00A76C5C">
      <w:pPr>
        <w:spacing w:after="160" w:line="259" w:lineRule="auto"/>
        <w:contextualSpacing w:val="0"/>
        <w:rPr>
          <w:rFonts w:eastAsia="Times New Roman"/>
          <w:szCs w:val="22"/>
        </w:rPr>
      </w:pPr>
      <w:r w:rsidRPr="00A76C5C">
        <w:rPr>
          <w:rFonts w:eastAsia="Times New Roman"/>
          <w:szCs w:val="22"/>
        </w:rPr>
        <w:t> </w:t>
      </w:r>
      <w:r w:rsidRPr="00A76C5C">
        <w:rPr>
          <w:rFonts w:eastAsia="Times New Roman"/>
          <w:szCs w:val="22"/>
        </w:rPr>
        <w:br w:type="page"/>
      </w:r>
    </w:p>
    <w:p w14:paraId="0E6839E2" w14:textId="4AD039B1" w:rsidR="00A76C5C" w:rsidRPr="00A76C5C" w:rsidRDefault="00377E89" w:rsidP="007D3670">
      <w:pPr>
        <w:pStyle w:val="Lijstalinea1"/>
      </w:pPr>
      <w:bookmarkStart w:id="42" w:name="_Toc119927042"/>
      <w:r>
        <w:rPr>
          <w:lang w:val="en-US"/>
        </w:rPr>
        <w:lastRenderedPageBreak/>
        <w:t xml:space="preserve">R3 </w:t>
      </w:r>
      <w:r w:rsidR="00A76C5C" w:rsidRPr="00A76C5C">
        <w:rPr>
          <w:lang w:val="en-US"/>
        </w:rPr>
        <w:t>Cloud computing</w:t>
      </w:r>
      <w:bookmarkEnd w:id="42"/>
      <w:r w:rsidR="00A76C5C" w:rsidRPr="00A76C5C">
        <w:t xml:space="preserve"> </w:t>
      </w:r>
    </w:p>
    <w:tbl>
      <w:tblPr>
        <w:tblW w:w="12622" w:type="dxa"/>
        <w:tblInd w:w="-5" w:type="dxa"/>
        <w:tblLayout w:type="fixed"/>
        <w:tblCellMar>
          <w:left w:w="70" w:type="dxa"/>
          <w:right w:w="70" w:type="dxa"/>
        </w:tblCellMar>
        <w:tblLook w:val="04A0" w:firstRow="1" w:lastRow="0" w:firstColumn="1" w:lastColumn="0" w:noHBand="0" w:noVBand="1"/>
      </w:tblPr>
      <w:tblGrid>
        <w:gridCol w:w="2253"/>
        <w:gridCol w:w="5096"/>
        <w:gridCol w:w="312"/>
        <w:gridCol w:w="567"/>
        <w:gridCol w:w="567"/>
        <w:gridCol w:w="567"/>
        <w:gridCol w:w="567"/>
        <w:gridCol w:w="879"/>
        <w:gridCol w:w="1520"/>
        <w:gridCol w:w="294"/>
      </w:tblGrid>
      <w:tr w:rsidR="00A76C5C" w:rsidRPr="00A76C5C" w14:paraId="5CD9B480" w14:textId="77777777" w:rsidTr="00A76C5C">
        <w:trPr>
          <w:cantSplit/>
          <w:trHeight w:val="1467"/>
        </w:trPr>
        <w:tc>
          <w:tcPr>
            <w:tcW w:w="225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F8142C1"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Thema’s</w:t>
            </w:r>
          </w:p>
        </w:tc>
        <w:tc>
          <w:tcPr>
            <w:tcW w:w="5096" w:type="dxa"/>
            <w:tcBorders>
              <w:top w:val="single" w:sz="8" w:space="0" w:color="auto"/>
              <w:left w:val="nil"/>
              <w:bottom w:val="single" w:sz="8" w:space="0" w:color="auto"/>
              <w:right w:val="single" w:sz="4" w:space="0" w:color="auto"/>
            </w:tcBorders>
            <w:shd w:val="clear" w:color="auto" w:fill="D9D9D9"/>
            <w:noWrap/>
            <w:vAlign w:val="center"/>
            <w:hideMark/>
          </w:tcPr>
          <w:p w14:paraId="2CEAD409"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47D522A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569F4226"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36B991B5"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0817A7CC"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0E8CE4D3"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4E333078"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1CD73FD1"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08B7EEB3"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134CFE3B"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hideMark/>
          </w:tcPr>
          <w:p w14:paraId="0BC1CF9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c>
          <w:tcPr>
            <w:tcW w:w="1814" w:type="dxa"/>
            <w:gridSpan w:val="2"/>
            <w:tcBorders>
              <w:top w:val="single" w:sz="8" w:space="0" w:color="auto"/>
              <w:left w:val="nil"/>
              <w:bottom w:val="single" w:sz="8" w:space="0" w:color="auto"/>
              <w:right w:val="single" w:sz="8" w:space="0" w:color="auto"/>
            </w:tcBorders>
            <w:shd w:val="clear" w:color="auto" w:fill="FFFF00"/>
            <w:vAlign w:val="center"/>
          </w:tcPr>
          <w:p w14:paraId="25448EA5" w14:textId="77777777" w:rsidR="00A76C5C" w:rsidRPr="00A76C5C" w:rsidRDefault="00A76C5C" w:rsidP="00A76C5C">
            <w:pPr>
              <w:contextualSpacing w:val="0"/>
              <w:jc w:val="center"/>
              <w:rPr>
                <w:rFonts w:eastAsia="Times New Roman" w:cs="Calibri"/>
                <w:b/>
                <w:bCs/>
                <w:color w:val="000000"/>
                <w:sz w:val="24"/>
                <w:szCs w:val="24"/>
                <w:lang w:eastAsia="nl-NL"/>
              </w:rPr>
            </w:pPr>
            <w:r w:rsidRPr="00A76C5C">
              <w:rPr>
                <w:rFonts w:eastAsia="Times New Roman" w:cs="Calibri"/>
                <w:b/>
                <w:bCs/>
                <w:color w:val="000000"/>
                <w:sz w:val="24"/>
                <w:szCs w:val="24"/>
                <w:lang w:eastAsia="nl-NL"/>
              </w:rPr>
              <w:t>Proceseigenaar</w:t>
            </w:r>
          </w:p>
          <w:p w14:paraId="522126C8"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000000"/>
                <w:sz w:val="24"/>
                <w:szCs w:val="24"/>
                <w:lang w:eastAsia="nl-NL"/>
              </w:rPr>
              <w:t>Accountable</w:t>
            </w:r>
          </w:p>
        </w:tc>
      </w:tr>
      <w:tr w:rsidR="00CA7074" w:rsidRPr="00A76C5C" w14:paraId="7C348EF1" w14:textId="77777777" w:rsidTr="00C15382">
        <w:trPr>
          <w:trHeight w:val="240"/>
        </w:trPr>
        <w:tc>
          <w:tcPr>
            <w:tcW w:w="2253" w:type="dxa"/>
            <w:vMerge w:val="restart"/>
            <w:tcBorders>
              <w:top w:val="single" w:sz="8" w:space="0" w:color="auto"/>
              <w:left w:val="single" w:sz="8" w:space="0" w:color="auto"/>
              <w:right w:val="single" w:sz="8" w:space="0" w:color="auto"/>
            </w:tcBorders>
            <w:shd w:val="clear" w:color="auto" w:fill="00B050"/>
            <w:noWrap/>
            <w:vAlign w:val="center"/>
          </w:tcPr>
          <w:p w14:paraId="26EE7748" w14:textId="77777777" w:rsidR="00CA7074" w:rsidRPr="00A76C5C" w:rsidRDefault="00CA7074" w:rsidP="00CA7074">
            <w:pPr>
              <w:contextualSpacing w:val="0"/>
              <w:rPr>
                <w:rFonts w:eastAsia="Times New Roman" w:cs="Calibri"/>
                <w:b/>
                <w:bCs/>
                <w:color w:val="000000"/>
                <w:sz w:val="16"/>
                <w:szCs w:val="16"/>
                <w:lang w:val="en-US" w:eastAsia="nl-NL"/>
              </w:rPr>
            </w:pPr>
            <w:r w:rsidRPr="00A76C5C">
              <w:rPr>
                <w:rFonts w:eastAsia="Times New Roman" w:cs="Calibri"/>
                <w:b/>
                <w:bCs/>
                <w:color w:val="FFFFFF"/>
                <w:sz w:val="16"/>
                <w:szCs w:val="16"/>
                <w:lang w:val="en-US" w:eastAsia="nl-NL"/>
              </w:rPr>
              <w:t>P09 ITIL</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62C466"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5.1 Identificatie en onderhoud van configuratie-items</w:t>
            </w:r>
          </w:p>
        </w:tc>
        <w:tc>
          <w:tcPr>
            <w:tcW w:w="312" w:type="dxa"/>
            <w:tcBorders>
              <w:top w:val="single" w:sz="8" w:space="0" w:color="auto"/>
              <w:left w:val="single" w:sz="4" w:space="0" w:color="auto"/>
              <w:bottom w:val="single" w:sz="4" w:space="0" w:color="auto"/>
              <w:right w:val="single" w:sz="4" w:space="0" w:color="auto"/>
            </w:tcBorders>
            <w:vAlign w:val="center"/>
          </w:tcPr>
          <w:p w14:paraId="59153C38"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17</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14:paraId="1EB40EE8"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4" w:space="0" w:color="auto"/>
            </w:tcBorders>
            <w:shd w:val="clear" w:color="000000" w:fill="FFFF00"/>
            <w:noWrap/>
            <w:vAlign w:val="center"/>
            <w:hideMark/>
          </w:tcPr>
          <w:p w14:paraId="7CAC9698"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14:paraId="041A4DE4"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8" w:space="0" w:color="auto"/>
            </w:tcBorders>
            <w:shd w:val="clear" w:color="auto" w:fill="D9D9D9"/>
            <w:noWrap/>
            <w:vAlign w:val="center"/>
            <w:hideMark/>
          </w:tcPr>
          <w:p w14:paraId="002AE34C"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8" w:space="0" w:color="auto"/>
              <w:left w:val="single" w:sz="8" w:space="0" w:color="auto"/>
              <w:bottom w:val="single" w:sz="4" w:space="0" w:color="FFFFFF"/>
              <w:right w:val="single" w:sz="8" w:space="0" w:color="auto"/>
            </w:tcBorders>
            <w:shd w:val="clear" w:color="auto" w:fill="00B050"/>
            <w:noWrap/>
            <w:vAlign w:val="center"/>
            <w:hideMark/>
          </w:tcPr>
          <w:p w14:paraId="085E8852" w14:textId="77777777" w:rsidR="00CA7074" w:rsidRPr="00A76C5C" w:rsidRDefault="00CA7074" w:rsidP="00CA7074">
            <w:pPr>
              <w:contextualSpacing w:val="0"/>
              <w:jc w:val="center"/>
              <w:rPr>
                <w:rFonts w:eastAsia="Times New Roman" w:cs="Calibri"/>
                <w:color w:val="000000"/>
                <w:sz w:val="16"/>
                <w:szCs w:val="16"/>
                <w:lang w:eastAsia="nl-NL"/>
              </w:rPr>
            </w:pPr>
          </w:p>
        </w:tc>
        <w:tc>
          <w:tcPr>
            <w:tcW w:w="1814" w:type="dxa"/>
            <w:gridSpan w:val="2"/>
            <w:tcBorders>
              <w:top w:val="single" w:sz="8" w:space="0" w:color="auto"/>
              <w:left w:val="single" w:sz="8" w:space="0" w:color="auto"/>
              <w:bottom w:val="single" w:sz="4" w:space="0" w:color="auto"/>
              <w:right w:val="single" w:sz="8" w:space="0" w:color="auto"/>
            </w:tcBorders>
            <w:shd w:val="clear" w:color="auto" w:fill="auto"/>
          </w:tcPr>
          <w:p w14:paraId="2DA05DA0" w14:textId="2A26613C" w:rsidR="00CA7074" w:rsidRPr="00A76C5C" w:rsidRDefault="00CA7074" w:rsidP="00CA7074">
            <w:pPr>
              <w:contextualSpacing w:val="0"/>
              <w:jc w:val="center"/>
              <w:rPr>
                <w:rFonts w:eastAsia="Times New Roman" w:cs="Calibri"/>
                <w:color w:val="000000"/>
                <w:sz w:val="16"/>
                <w:szCs w:val="16"/>
                <w:lang w:eastAsia="nl-NL"/>
              </w:rPr>
            </w:pPr>
            <w:r w:rsidRPr="00443483">
              <w:rPr>
                <w:rFonts w:eastAsia="Times New Roman" w:cs="Calibri"/>
                <w:color w:val="000000"/>
                <w:sz w:val="16"/>
                <w:szCs w:val="16"/>
                <w:lang w:eastAsia="nl-NL"/>
              </w:rPr>
              <w:t>Hoofd ICT</w:t>
            </w:r>
          </w:p>
        </w:tc>
      </w:tr>
      <w:tr w:rsidR="00CA7074" w:rsidRPr="00A76C5C" w14:paraId="3F6BEE88"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00B050"/>
            <w:noWrap/>
            <w:vAlign w:val="center"/>
            <w:hideMark/>
          </w:tcPr>
          <w:p w14:paraId="075C9D9E" w14:textId="77777777" w:rsidR="00CA7074" w:rsidRPr="00A76C5C" w:rsidRDefault="00CA7074" w:rsidP="00CA7074">
            <w:pPr>
              <w:contextualSpacing w:val="0"/>
              <w:rPr>
                <w:rFonts w:eastAsia="Times New Roman" w:cs="Calibri"/>
                <w:b/>
                <w:bCs/>
                <w:color w:val="FF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175B0B" w14:textId="77777777" w:rsidR="00CA7074" w:rsidRPr="00A76C5C" w:rsidRDefault="00CA7074" w:rsidP="00CA7074">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5.2 Configuratiedatabase en baseline</w:t>
            </w:r>
          </w:p>
        </w:tc>
        <w:tc>
          <w:tcPr>
            <w:tcW w:w="312" w:type="dxa"/>
            <w:tcBorders>
              <w:top w:val="single" w:sz="4" w:space="0" w:color="auto"/>
              <w:left w:val="single" w:sz="4" w:space="0" w:color="auto"/>
              <w:bottom w:val="single" w:sz="4" w:space="0" w:color="auto"/>
              <w:right w:val="single" w:sz="4" w:space="0" w:color="auto"/>
            </w:tcBorders>
            <w:vAlign w:val="center"/>
          </w:tcPr>
          <w:p w14:paraId="260C61A8"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18</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0B2766"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F344D3" w14:textId="77777777" w:rsidR="00CA7074" w:rsidRPr="00A76C5C" w:rsidRDefault="00CA7074" w:rsidP="00CA7074">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A44B83" w14:textId="77777777" w:rsidR="00CA7074" w:rsidRPr="00A76C5C" w:rsidRDefault="00CA7074" w:rsidP="00CA7074">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hideMark/>
          </w:tcPr>
          <w:p w14:paraId="76F1B9FA" w14:textId="77777777" w:rsidR="00CA7074" w:rsidRPr="00A76C5C" w:rsidRDefault="00CA7074" w:rsidP="00CA7074">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hideMark/>
          </w:tcPr>
          <w:p w14:paraId="3278A069" w14:textId="77777777" w:rsidR="00CA7074" w:rsidRPr="00A76C5C" w:rsidRDefault="00CA7074" w:rsidP="00CA7074">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58AEA7E5" w14:textId="7AE0585A" w:rsidR="00CA7074" w:rsidRPr="00A76C5C" w:rsidRDefault="00CA7074" w:rsidP="00CA7074">
            <w:pPr>
              <w:contextualSpacing w:val="0"/>
              <w:jc w:val="center"/>
              <w:rPr>
                <w:rFonts w:eastAsia="Times New Roman" w:cs="Calibri"/>
                <w:color w:val="000000"/>
                <w:sz w:val="16"/>
                <w:szCs w:val="16"/>
                <w:lang w:eastAsia="nl-NL"/>
              </w:rPr>
            </w:pPr>
            <w:r w:rsidRPr="00443483">
              <w:rPr>
                <w:rFonts w:eastAsia="Times New Roman" w:cs="Calibri"/>
                <w:color w:val="000000"/>
                <w:sz w:val="16"/>
                <w:szCs w:val="16"/>
                <w:lang w:eastAsia="nl-NL"/>
              </w:rPr>
              <w:t>Hoofd ICT</w:t>
            </w:r>
          </w:p>
        </w:tc>
      </w:tr>
      <w:tr w:rsidR="00A76C5C" w:rsidRPr="00A76C5C" w14:paraId="16731D49"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00B050"/>
            <w:noWrap/>
            <w:vAlign w:val="center"/>
          </w:tcPr>
          <w:p w14:paraId="2AAAB84A"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P12 Security Baselines</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6CC36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 Security baselines</w:t>
            </w:r>
          </w:p>
        </w:tc>
        <w:tc>
          <w:tcPr>
            <w:tcW w:w="312" w:type="dxa"/>
            <w:tcBorders>
              <w:top w:val="single" w:sz="8" w:space="0" w:color="auto"/>
              <w:left w:val="single" w:sz="4" w:space="0" w:color="auto"/>
              <w:bottom w:val="single" w:sz="8" w:space="0" w:color="auto"/>
              <w:right w:val="single" w:sz="4" w:space="0" w:color="auto"/>
            </w:tcBorders>
            <w:shd w:val="clear" w:color="auto" w:fill="auto"/>
            <w:vAlign w:val="center"/>
          </w:tcPr>
          <w:p w14:paraId="51911C0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45</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46EE5CF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417150B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33314B6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8" w:space="0" w:color="auto"/>
            </w:tcBorders>
            <w:shd w:val="clear" w:color="auto" w:fill="D9D9D9"/>
            <w:noWrap/>
            <w:vAlign w:val="center"/>
          </w:tcPr>
          <w:p w14:paraId="0527662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3857EB7"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35B08F3" w14:textId="64C4C298"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College van Bestuur</w:t>
            </w:r>
          </w:p>
        </w:tc>
      </w:tr>
      <w:tr w:rsidR="00A76C5C" w:rsidRPr="00A76C5C" w14:paraId="7F460892"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5937262D"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P14 Cloud Leveranciers</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3C07014"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15.1 Service level overeenkomst</w:t>
            </w:r>
          </w:p>
        </w:tc>
        <w:tc>
          <w:tcPr>
            <w:tcW w:w="312" w:type="dxa"/>
            <w:tcBorders>
              <w:top w:val="single" w:sz="8" w:space="0" w:color="auto"/>
              <w:left w:val="single" w:sz="4" w:space="0" w:color="auto"/>
              <w:bottom w:val="single" w:sz="4" w:space="0" w:color="auto"/>
              <w:right w:val="single" w:sz="4" w:space="0" w:color="auto"/>
            </w:tcBorders>
            <w:vAlign w:val="center"/>
          </w:tcPr>
          <w:p w14:paraId="78988009"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51</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0D74D222"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4" w:space="0" w:color="auto"/>
            </w:tcBorders>
            <w:shd w:val="clear" w:color="auto" w:fill="FFFF00"/>
            <w:noWrap/>
            <w:vAlign w:val="center"/>
          </w:tcPr>
          <w:p w14:paraId="55AE156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1276F877"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8" w:space="0" w:color="auto"/>
            </w:tcBorders>
            <w:shd w:val="clear" w:color="auto" w:fill="D9D9D9"/>
            <w:noWrap/>
            <w:vAlign w:val="center"/>
          </w:tcPr>
          <w:p w14:paraId="7926B8FB"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D936786"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F760B5"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Inkoop</w:t>
            </w:r>
          </w:p>
        </w:tc>
      </w:tr>
      <w:tr w:rsidR="00A76C5C" w:rsidRPr="00A76C5C" w14:paraId="1AEC4FC8"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3CC3BCF4"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34B67B"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15.2 Service level beheer</w:t>
            </w:r>
          </w:p>
        </w:tc>
        <w:tc>
          <w:tcPr>
            <w:tcW w:w="312" w:type="dxa"/>
            <w:tcBorders>
              <w:top w:val="single" w:sz="4" w:space="0" w:color="auto"/>
              <w:left w:val="single" w:sz="4" w:space="0" w:color="auto"/>
              <w:bottom w:val="single" w:sz="4" w:space="0" w:color="auto"/>
              <w:right w:val="single" w:sz="4" w:space="0" w:color="auto"/>
            </w:tcBorders>
            <w:vAlign w:val="center"/>
          </w:tcPr>
          <w:p w14:paraId="4D495E5B"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52</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B5A273"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4" w:space="0" w:color="auto"/>
            </w:tcBorders>
            <w:shd w:val="clear" w:color="auto" w:fill="FFFF00"/>
            <w:noWrap/>
            <w:vAlign w:val="center"/>
          </w:tcPr>
          <w:p w14:paraId="5D25E40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11A8C61E"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12C538E1"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3323CA42"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7F131A7E"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Inkoop</w:t>
            </w:r>
          </w:p>
        </w:tc>
      </w:tr>
      <w:tr w:rsidR="00A76C5C" w:rsidRPr="00A76C5C" w14:paraId="7477B85A"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76BD76CE"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83C428" w14:textId="77777777" w:rsidR="00A76C5C" w:rsidRPr="00A76C5C" w:rsidRDefault="00A76C5C" w:rsidP="00A76C5C">
            <w:pPr>
              <w:contextualSpacing w:val="0"/>
              <w:rPr>
                <w:rFonts w:eastAsia="Times New Roman" w:cs="Calibri"/>
                <w:color w:val="000000"/>
                <w:sz w:val="16"/>
                <w:szCs w:val="16"/>
                <w:lang w:eastAsia="nl-NL"/>
              </w:rPr>
            </w:pPr>
            <w:bookmarkStart w:id="43" w:name="_Hlk119239609"/>
            <w:r w:rsidRPr="00A76C5C">
              <w:rPr>
                <w:rFonts w:eastAsia="Times New Roman" w:cs="Calibri"/>
                <w:color w:val="000000"/>
                <w:sz w:val="16"/>
                <w:szCs w:val="16"/>
                <w:lang w:eastAsia="nl-NL"/>
              </w:rPr>
              <w:t>15.3 Risicobeheer van leveranciers</w:t>
            </w:r>
            <w:bookmarkEnd w:id="43"/>
          </w:p>
        </w:tc>
        <w:tc>
          <w:tcPr>
            <w:tcW w:w="312" w:type="dxa"/>
            <w:tcBorders>
              <w:top w:val="single" w:sz="4" w:space="0" w:color="auto"/>
              <w:left w:val="single" w:sz="4" w:space="0" w:color="auto"/>
              <w:bottom w:val="single" w:sz="4" w:space="0" w:color="auto"/>
              <w:right w:val="single" w:sz="4" w:space="0" w:color="auto"/>
            </w:tcBorders>
            <w:vAlign w:val="center"/>
          </w:tcPr>
          <w:p w14:paraId="23090E2C"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D716715"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4" w:space="0" w:color="auto"/>
            </w:tcBorders>
            <w:shd w:val="clear" w:color="auto" w:fill="FFFF00"/>
            <w:noWrap/>
            <w:vAlign w:val="center"/>
          </w:tcPr>
          <w:p w14:paraId="728C53D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0C793653"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2125D21D"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42FA72B5"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1D0F713B"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Inkoop</w:t>
            </w:r>
          </w:p>
        </w:tc>
      </w:tr>
      <w:tr w:rsidR="00A76C5C" w:rsidRPr="00A76C5C" w14:paraId="449AB62B" w14:textId="77777777" w:rsidTr="00A76C5C">
        <w:trPr>
          <w:trHeight w:val="250"/>
        </w:trPr>
        <w:tc>
          <w:tcPr>
            <w:tcW w:w="2253" w:type="dxa"/>
            <w:vMerge/>
            <w:tcBorders>
              <w:top w:val="single" w:sz="4" w:space="0" w:color="auto"/>
              <w:left w:val="single" w:sz="8" w:space="0" w:color="auto"/>
              <w:bottom w:val="single" w:sz="8" w:space="0" w:color="auto"/>
              <w:right w:val="single" w:sz="8" w:space="0" w:color="auto"/>
            </w:tcBorders>
            <w:shd w:val="clear" w:color="auto" w:fill="00B050"/>
            <w:noWrap/>
            <w:vAlign w:val="center"/>
          </w:tcPr>
          <w:p w14:paraId="2FE83F52"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BD1F28B" w14:textId="1E0FDA77" w:rsidR="00A76C5C" w:rsidRPr="00A76C5C" w:rsidRDefault="007D3670" w:rsidP="00A76C5C">
            <w:pPr>
              <w:contextualSpacing w:val="0"/>
              <w:rPr>
                <w:rFonts w:eastAsia="Times New Roman" w:cs="Calibri"/>
                <w:color w:val="000000"/>
                <w:sz w:val="16"/>
                <w:szCs w:val="16"/>
                <w:lang w:eastAsia="nl-NL"/>
              </w:rPr>
            </w:pPr>
            <w:r w:rsidRPr="007D3670">
              <w:rPr>
                <w:rFonts w:eastAsia="Times New Roman" w:cs="Calibri"/>
                <w:color w:val="000000"/>
                <w:sz w:val="16"/>
                <w:szCs w:val="16"/>
                <w:lang w:eastAsia="nl-NL"/>
              </w:rPr>
              <w:t>15.4 Interne beheersing bij derden</w:t>
            </w:r>
          </w:p>
        </w:tc>
        <w:tc>
          <w:tcPr>
            <w:tcW w:w="312" w:type="dxa"/>
            <w:tcBorders>
              <w:top w:val="single" w:sz="4" w:space="0" w:color="auto"/>
              <w:left w:val="single" w:sz="4" w:space="0" w:color="auto"/>
              <w:bottom w:val="single" w:sz="8" w:space="0" w:color="auto"/>
              <w:right w:val="single" w:sz="4" w:space="0" w:color="auto"/>
            </w:tcBorders>
            <w:vAlign w:val="center"/>
          </w:tcPr>
          <w:p w14:paraId="4052C2D2"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54</w:t>
            </w: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4208C3BC"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4" w:space="0" w:color="auto"/>
            </w:tcBorders>
            <w:shd w:val="clear" w:color="auto" w:fill="FFFF00"/>
            <w:noWrap/>
            <w:vAlign w:val="center"/>
          </w:tcPr>
          <w:p w14:paraId="6549EE2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8" w:space="0" w:color="auto"/>
              <w:right w:val="single" w:sz="4" w:space="0" w:color="auto"/>
            </w:tcBorders>
            <w:shd w:val="clear" w:color="auto" w:fill="D9D9D9"/>
            <w:noWrap/>
            <w:vAlign w:val="center"/>
          </w:tcPr>
          <w:p w14:paraId="6041DC07"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8" w:space="0" w:color="auto"/>
              <w:right w:val="single" w:sz="8" w:space="0" w:color="auto"/>
            </w:tcBorders>
            <w:shd w:val="clear" w:color="auto" w:fill="D9D9D9"/>
            <w:noWrap/>
            <w:vAlign w:val="center"/>
          </w:tcPr>
          <w:p w14:paraId="59A2E989"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8" w:space="0" w:color="auto"/>
              <w:right w:val="single" w:sz="8" w:space="0" w:color="auto"/>
            </w:tcBorders>
            <w:shd w:val="clear" w:color="auto" w:fill="00B050"/>
            <w:noWrap/>
            <w:vAlign w:val="center"/>
          </w:tcPr>
          <w:p w14:paraId="59E6034F"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8" w:space="0" w:color="auto"/>
              <w:right w:val="single" w:sz="8" w:space="0" w:color="auto"/>
            </w:tcBorders>
            <w:shd w:val="clear" w:color="auto" w:fill="auto"/>
          </w:tcPr>
          <w:p w14:paraId="6819E608"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Inkoop</w:t>
            </w:r>
          </w:p>
        </w:tc>
      </w:tr>
      <w:tr w:rsidR="00A76C5C" w:rsidRPr="00A76C5C" w14:paraId="0874B4AA" w14:textId="77777777" w:rsidTr="00A76C5C">
        <w:trPr>
          <w:trHeight w:val="250"/>
        </w:trPr>
        <w:tc>
          <w:tcPr>
            <w:tcW w:w="2253" w:type="dxa"/>
            <w:tcBorders>
              <w:left w:val="single" w:sz="8" w:space="0" w:color="auto"/>
              <w:bottom w:val="single" w:sz="8" w:space="0" w:color="auto"/>
              <w:right w:val="single" w:sz="8" w:space="0" w:color="auto"/>
            </w:tcBorders>
            <w:shd w:val="clear" w:color="auto" w:fill="C00000"/>
            <w:noWrap/>
            <w:vAlign w:val="center"/>
          </w:tcPr>
          <w:p w14:paraId="7E4B73B9"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b/>
                <w:bCs/>
                <w:color w:val="FFFFFF"/>
                <w:sz w:val="16"/>
                <w:szCs w:val="16"/>
                <w:lang w:eastAsia="nl-NL"/>
              </w:rPr>
              <w:t>T21 Computer Operations</w:t>
            </w: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A373D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13.2 Procedures voor back-up en herstel</w:t>
            </w:r>
          </w:p>
        </w:tc>
        <w:tc>
          <w:tcPr>
            <w:tcW w:w="312" w:type="dxa"/>
            <w:tcBorders>
              <w:top w:val="single" w:sz="4" w:space="0" w:color="auto"/>
              <w:left w:val="single" w:sz="4" w:space="0" w:color="auto"/>
              <w:bottom w:val="single" w:sz="4" w:space="0" w:color="auto"/>
              <w:right w:val="single" w:sz="4" w:space="0" w:color="auto"/>
            </w:tcBorders>
            <w:vAlign w:val="center"/>
          </w:tcPr>
          <w:p w14:paraId="2C9F239F" w14:textId="77777777" w:rsidR="00A76C5C" w:rsidRPr="00A76C5C" w:rsidRDefault="00A76C5C" w:rsidP="00A76C5C">
            <w:pPr>
              <w:contextualSpacing w:val="0"/>
              <w:rPr>
                <w:rFonts w:eastAsia="Times New Roman" w:cs="Calibri"/>
                <w:b/>
                <w:bCs/>
                <w:sz w:val="16"/>
                <w:szCs w:val="16"/>
                <w:lang w:eastAsia="nl-NL"/>
              </w:rPr>
            </w:pPr>
            <w:r w:rsidRPr="00A76C5C">
              <w:rPr>
                <w:rFonts w:eastAsia="Times New Roman" w:cs="Calibri"/>
                <w:b/>
                <w:bCs/>
                <w:sz w:val="16"/>
                <w:szCs w:val="16"/>
                <w:lang w:eastAsia="nl-NL"/>
              </w:rPr>
              <w:t>68</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26468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000000" w:fill="FFFF00"/>
            <w:noWrap/>
            <w:vAlign w:val="center"/>
          </w:tcPr>
          <w:p w14:paraId="076D8D7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10D95DB6"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nil"/>
              <w:bottom w:val="single" w:sz="4" w:space="0" w:color="auto"/>
              <w:right w:val="single" w:sz="8" w:space="0" w:color="auto"/>
            </w:tcBorders>
            <w:shd w:val="clear" w:color="auto" w:fill="D9D9D9"/>
            <w:noWrap/>
            <w:vAlign w:val="center"/>
          </w:tcPr>
          <w:p w14:paraId="7DECC12A"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auto"/>
              <w:right w:val="single" w:sz="8" w:space="0" w:color="auto"/>
            </w:tcBorders>
            <w:shd w:val="clear" w:color="auto" w:fill="C00000"/>
            <w:noWrap/>
            <w:vAlign w:val="center"/>
          </w:tcPr>
          <w:p w14:paraId="7EBB7558"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8" w:space="0" w:color="auto"/>
              <w:right w:val="single" w:sz="8" w:space="0" w:color="auto"/>
            </w:tcBorders>
            <w:shd w:val="clear" w:color="auto" w:fill="auto"/>
          </w:tcPr>
          <w:p w14:paraId="7891B25E" w14:textId="2ED00F95"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Hoofd ICT</w:t>
            </w:r>
          </w:p>
        </w:tc>
      </w:tr>
      <w:tr w:rsidR="00A76C5C" w:rsidRPr="00A76C5C" w14:paraId="4628ABA8" w14:textId="77777777" w:rsidTr="00A76C5C">
        <w:trPr>
          <w:gridAfter w:val="1"/>
          <w:wAfter w:w="294" w:type="dxa"/>
          <w:cantSplit/>
          <w:trHeight w:val="1134"/>
        </w:trPr>
        <w:tc>
          <w:tcPr>
            <w:tcW w:w="225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43A29F" w14:textId="77777777" w:rsidR="00A76C5C" w:rsidRPr="00A76C5C" w:rsidRDefault="00A76C5C" w:rsidP="00A76C5C">
            <w:pPr>
              <w:contextualSpacing w:val="0"/>
              <w:rPr>
                <w:rFonts w:eastAsia="Times New Roman" w:cs="Calibri"/>
                <w:color w:val="000000"/>
                <w:sz w:val="14"/>
                <w:szCs w:val="14"/>
                <w:lang w:eastAsia="nl-NL"/>
              </w:rPr>
            </w:pPr>
          </w:p>
        </w:tc>
        <w:tc>
          <w:tcPr>
            <w:tcW w:w="509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DC25E77" w14:textId="77777777" w:rsidR="00A76C5C" w:rsidRPr="00A76C5C" w:rsidRDefault="00A76C5C" w:rsidP="00A76C5C">
            <w:pPr>
              <w:contextualSpacing w:val="0"/>
              <w:rPr>
                <w:rFonts w:eastAsia="Times New Roman" w:cs="Calibri"/>
                <w:color w:val="000000"/>
                <w:sz w:val="32"/>
                <w:szCs w:val="32"/>
                <w:lang w:eastAsia="nl-NL"/>
              </w:rPr>
            </w:pPr>
            <w:r w:rsidRPr="00A76C5C">
              <w:rPr>
                <w:rFonts w:eastAsia="Times New Roman" w:cs="Calibri"/>
                <w:b/>
                <w:bCs/>
                <w:color w:val="000000"/>
                <w:sz w:val="32"/>
                <w:szCs w:val="32"/>
                <w:lang w:eastAsia="nl-NL"/>
              </w:rPr>
              <w:t>Gegeven risicoscore (Netto score)</w:t>
            </w:r>
          </w:p>
        </w:tc>
        <w:tc>
          <w:tcPr>
            <w:tcW w:w="312" w:type="dxa"/>
            <w:tcBorders>
              <w:top w:val="single" w:sz="8" w:space="0" w:color="auto"/>
              <w:left w:val="single" w:sz="4" w:space="0" w:color="auto"/>
              <w:bottom w:val="single" w:sz="8" w:space="0" w:color="auto"/>
              <w:right w:val="nil"/>
            </w:tcBorders>
            <w:vAlign w:val="center"/>
          </w:tcPr>
          <w:p w14:paraId="64AED79E" w14:textId="77777777" w:rsidR="00A76C5C" w:rsidRPr="00A76C5C" w:rsidRDefault="00A76C5C" w:rsidP="00A76C5C">
            <w:pPr>
              <w:contextualSpacing w:val="0"/>
              <w:rPr>
                <w:rFonts w:eastAsia="Times New Roman" w:cs="Calibri"/>
                <w:b/>
                <w:bCs/>
                <w:sz w:val="14"/>
                <w:szCs w:val="14"/>
                <w:lang w:eastAsia="nl-NL"/>
              </w:rPr>
            </w:pP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2292AF34"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R2</w:t>
            </w:r>
          </w:p>
          <w:p w14:paraId="70581975"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Ransomware</w:t>
            </w:r>
          </w:p>
        </w:tc>
        <w:tc>
          <w:tcPr>
            <w:tcW w:w="567" w:type="dxa"/>
            <w:tcBorders>
              <w:top w:val="single" w:sz="8" w:space="0" w:color="auto"/>
              <w:left w:val="single" w:sz="4" w:space="0" w:color="auto"/>
              <w:bottom w:val="single" w:sz="8" w:space="0" w:color="auto"/>
              <w:right w:val="single" w:sz="4" w:space="0" w:color="auto"/>
            </w:tcBorders>
            <w:shd w:val="clear" w:color="auto" w:fill="00B0F0"/>
            <w:noWrap/>
            <w:textDirection w:val="tbRl"/>
            <w:vAlign w:val="center"/>
          </w:tcPr>
          <w:p w14:paraId="7ED586D9"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R3</w:t>
            </w:r>
          </w:p>
          <w:p w14:paraId="60A34205"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Cloud</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72289826"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R4</w:t>
            </w:r>
          </w:p>
          <w:p w14:paraId="1A61DDF2"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Identiteitsfraude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378C555F"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R5</w:t>
            </w:r>
          </w:p>
          <w:p w14:paraId="1DB3E9CB"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tcPr>
          <w:p w14:paraId="1A1CC0C7" w14:textId="77777777" w:rsidR="00A76C5C" w:rsidRPr="00A76C5C" w:rsidRDefault="00A76C5C" w:rsidP="00A76C5C">
            <w:pPr>
              <w:contextualSpacing w:val="0"/>
              <w:jc w:val="center"/>
              <w:rPr>
                <w:rFonts w:eastAsia="Times New Roman" w:cs="Calibri"/>
                <w:color w:val="000000"/>
                <w:sz w:val="14"/>
                <w:szCs w:val="14"/>
                <w:lang w:eastAsia="nl-NL"/>
              </w:rPr>
            </w:pPr>
          </w:p>
        </w:tc>
        <w:tc>
          <w:tcPr>
            <w:tcW w:w="1520" w:type="dxa"/>
            <w:tcBorders>
              <w:top w:val="single" w:sz="8" w:space="0" w:color="auto"/>
              <w:left w:val="nil"/>
              <w:bottom w:val="single" w:sz="8" w:space="0" w:color="FFFFFF"/>
              <w:right w:val="single" w:sz="8" w:space="0" w:color="FFFFFF"/>
            </w:tcBorders>
          </w:tcPr>
          <w:p w14:paraId="5C1C5654" w14:textId="77777777" w:rsidR="00A76C5C" w:rsidRPr="00A76C5C" w:rsidRDefault="00A76C5C" w:rsidP="00A76C5C">
            <w:pPr>
              <w:contextualSpacing w:val="0"/>
              <w:jc w:val="center"/>
              <w:rPr>
                <w:rFonts w:eastAsia="Times New Roman" w:cs="Calibri"/>
                <w:color w:val="000000"/>
                <w:sz w:val="14"/>
                <w:szCs w:val="14"/>
                <w:lang w:eastAsia="nl-NL"/>
              </w:rPr>
            </w:pPr>
          </w:p>
        </w:tc>
      </w:tr>
    </w:tbl>
    <w:p w14:paraId="214E2F63" w14:textId="77777777" w:rsidR="00A76C5C" w:rsidRPr="00A76C5C" w:rsidRDefault="00A76C5C" w:rsidP="007D3670">
      <w:pPr>
        <w:keepNext/>
        <w:keepLines/>
        <w:spacing w:before="40" w:line="259" w:lineRule="auto"/>
        <w:contextualSpacing w:val="0"/>
        <w:outlineLvl w:val="1"/>
        <w:rPr>
          <w:rFonts w:ascii="Calibri Light" w:eastAsia="Times New Roman" w:hAnsi="Calibri Light"/>
          <w:b/>
          <w:color w:val="2F5496"/>
          <w:sz w:val="26"/>
          <w:szCs w:val="26"/>
        </w:rPr>
      </w:pPr>
    </w:p>
    <w:p w14:paraId="4F7CBD42" w14:textId="77777777" w:rsidR="00A76C5C" w:rsidRPr="00A76C5C" w:rsidRDefault="00A76C5C" w:rsidP="00A76C5C">
      <w:pPr>
        <w:spacing w:line="259" w:lineRule="auto"/>
        <w:contextualSpacing w:val="0"/>
        <w:rPr>
          <w:rFonts w:eastAsia="Times New Roman"/>
          <w:i/>
          <w:iCs/>
          <w:szCs w:val="22"/>
        </w:rPr>
      </w:pPr>
      <w:bookmarkStart w:id="44" w:name="_Hlk119239746"/>
      <w:r w:rsidRPr="00A76C5C">
        <w:rPr>
          <w:b/>
          <w:bCs/>
          <w:i/>
          <w:iCs/>
          <w:color w:val="0070C0"/>
          <w:szCs w:val="22"/>
        </w:rPr>
        <w:t>Leidend</w:t>
      </w:r>
      <w:r w:rsidRPr="00A76C5C">
        <w:rPr>
          <w:i/>
          <w:iCs/>
          <w:color w:val="0070C0"/>
          <w:szCs w:val="22"/>
        </w:rPr>
        <w:t xml:space="preserve">: </w:t>
      </w:r>
      <w:bookmarkEnd w:id="44"/>
      <w:r w:rsidRPr="00A76C5C">
        <w:rPr>
          <w:rFonts w:eastAsia="Times New Roman" w:cs="Calibri"/>
          <w:i/>
          <w:iCs/>
          <w:color w:val="000000"/>
          <w:lang w:eastAsia="nl-NL"/>
        </w:rPr>
        <w:t>15.3 Risicobeheer van leveranciers</w:t>
      </w:r>
      <w:r w:rsidRPr="00A76C5C">
        <w:rPr>
          <w:rFonts w:eastAsia="Times New Roman"/>
          <w:i/>
          <w:iCs/>
        </w:rPr>
        <w:t xml:space="preserve"> en </w:t>
      </w:r>
      <w:r w:rsidRPr="00A76C5C">
        <w:rPr>
          <w:rFonts w:eastAsia="Times New Roman" w:cs="Calibri"/>
          <w:i/>
          <w:iCs/>
          <w:color w:val="000000"/>
          <w:lang w:eastAsia="nl-NL"/>
        </w:rPr>
        <w:t>15.4 Interne beheersing bij derden</w:t>
      </w:r>
      <w:r w:rsidRPr="00A76C5C">
        <w:rPr>
          <w:rFonts w:eastAsia="Times New Roman"/>
          <w:i/>
          <w:iCs/>
          <w:szCs w:val="22"/>
        </w:rPr>
        <w:t xml:space="preserve"> zijn belegd bij de SURF. De bevindingen en aanbevelingen van SURF kunnen dat vervolgens beoordeeld worden door de onderwijsinstelling.</w:t>
      </w:r>
      <w:r w:rsidRPr="00A76C5C">
        <w:rPr>
          <w:rFonts w:eastAsia="Times New Roman"/>
          <w:i/>
          <w:iCs/>
          <w:szCs w:val="22"/>
        </w:rPr>
        <w:br w:type="page"/>
      </w:r>
    </w:p>
    <w:p w14:paraId="7F757413" w14:textId="12E8DBE1" w:rsidR="00A76C5C" w:rsidRPr="00A76C5C" w:rsidRDefault="00377E89" w:rsidP="007D3670">
      <w:pPr>
        <w:pStyle w:val="Lijstalinea1"/>
      </w:pPr>
      <w:bookmarkStart w:id="45" w:name="_Toc119927043"/>
      <w:r>
        <w:lastRenderedPageBreak/>
        <w:t xml:space="preserve">R4 </w:t>
      </w:r>
      <w:r w:rsidR="00A76C5C" w:rsidRPr="00A76C5C">
        <w:t>Identiteitsfraude</w:t>
      </w:r>
      <w:bookmarkEnd w:id="45"/>
    </w:p>
    <w:tbl>
      <w:tblPr>
        <w:tblW w:w="12622" w:type="dxa"/>
        <w:tblInd w:w="-5" w:type="dxa"/>
        <w:tblLayout w:type="fixed"/>
        <w:tblCellMar>
          <w:left w:w="70" w:type="dxa"/>
          <w:right w:w="70" w:type="dxa"/>
        </w:tblCellMar>
        <w:tblLook w:val="04A0" w:firstRow="1" w:lastRow="0" w:firstColumn="1" w:lastColumn="0" w:noHBand="0" w:noVBand="1"/>
      </w:tblPr>
      <w:tblGrid>
        <w:gridCol w:w="2253"/>
        <w:gridCol w:w="5096"/>
        <w:gridCol w:w="312"/>
        <w:gridCol w:w="567"/>
        <w:gridCol w:w="567"/>
        <w:gridCol w:w="567"/>
        <w:gridCol w:w="567"/>
        <w:gridCol w:w="879"/>
        <w:gridCol w:w="1803"/>
        <w:gridCol w:w="11"/>
      </w:tblGrid>
      <w:tr w:rsidR="00A76C5C" w:rsidRPr="00A76C5C" w14:paraId="3BD7EC6E" w14:textId="77777777" w:rsidTr="00A76C5C">
        <w:trPr>
          <w:cantSplit/>
          <w:trHeight w:val="1467"/>
        </w:trPr>
        <w:tc>
          <w:tcPr>
            <w:tcW w:w="225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7F2FAB5"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Thema’s</w:t>
            </w:r>
          </w:p>
        </w:tc>
        <w:tc>
          <w:tcPr>
            <w:tcW w:w="5096" w:type="dxa"/>
            <w:tcBorders>
              <w:top w:val="single" w:sz="8" w:space="0" w:color="auto"/>
              <w:left w:val="nil"/>
              <w:bottom w:val="single" w:sz="8" w:space="0" w:color="auto"/>
              <w:right w:val="single" w:sz="4" w:space="0" w:color="auto"/>
            </w:tcBorders>
            <w:shd w:val="clear" w:color="auto" w:fill="D9D9D9"/>
            <w:noWrap/>
            <w:vAlign w:val="center"/>
            <w:hideMark/>
          </w:tcPr>
          <w:p w14:paraId="1F88CAB2"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5DD4D971"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49A6A888"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199C3323"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1862955E"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1908EDD9"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0699683D"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4640ADCC"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3A584972"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68066830"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hideMark/>
          </w:tcPr>
          <w:p w14:paraId="58D7E81B"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c>
          <w:tcPr>
            <w:tcW w:w="1814" w:type="dxa"/>
            <w:gridSpan w:val="2"/>
            <w:tcBorders>
              <w:top w:val="single" w:sz="8" w:space="0" w:color="auto"/>
              <w:left w:val="nil"/>
              <w:bottom w:val="single" w:sz="8" w:space="0" w:color="auto"/>
              <w:right w:val="single" w:sz="8" w:space="0" w:color="auto"/>
            </w:tcBorders>
            <w:shd w:val="clear" w:color="auto" w:fill="FFFF00"/>
            <w:vAlign w:val="center"/>
          </w:tcPr>
          <w:p w14:paraId="6DF03882" w14:textId="77777777" w:rsidR="00A76C5C" w:rsidRPr="00A76C5C" w:rsidRDefault="00A76C5C" w:rsidP="00A76C5C">
            <w:pPr>
              <w:contextualSpacing w:val="0"/>
              <w:jc w:val="center"/>
              <w:rPr>
                <w:rFonts w:eastAsia="Times New Roman" w:cs="Calibri"/>
                <w:b/>
                <w:bCs/>
                <w:color w:val="000000"/>
                <w:sz w:val="24"/>
                <w:szCs w:val="24"/>
                <w:lang w:eastAsia="nl-NL"/>
              </w:rPr>
            </w:pPr>
            <w:r w:rsidRPr="00A76C5C">
              <w:rPr>
                <w:rFonts w:eastAsia="Times New Roman" w:cs="Calibri"/>
                <w:b/>
                <w:bCs/>
                <w:color w:val="000000"/>
                <w:sz w:val="24"/>
                <w:szCs w:val="24"/>
                <w:lang w:eastAsia="nl-NL"/>
              </w:rPr>
              <w:t>Proceseigenaar</w:t>
            </w:r>
          </w:p>
          <w:p w14:paraId="33B4D83A"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000000"/>
                <w:sz w:val="24"/>
                <w:szCs w:val="24"/>
                <w:lang w:eastAsia="nl-NL"/>
              </w:rPr>
              <w:t>Accountable</w:t>
            </w:r>
          </w:p>
        </w:tc>
      </w:tr>
      <w:tr w:rsidR="00A76C5C" w:rsidRPr="00A76C5C" w14:paraId="4C2B5990" w14:textId="77777777" w:rsidTr="00A76C5C">
        <w:trPr>
          <w:trHeight w:val="250"/>
        </w:trPr>
        <w:tc>
          <w:tcPr>
            <w:tcW w:w="2253" w:type="dxa"/>
            <w:vMerge w:val="restart"/>
            <w:tcBorders>
              <w:left w:val="single" w:sz="8" w:space="0" w:color="auto"/>
              <w:right w:val="single" w:sz="8" w:space="0" w:color="auto"/>
            </w:tcBorders>
            <w:shd w:val="clear" w:color="auto" w:fill="00B050"/>
            <w:noWrap/>
            <w:vAlign w:val="center"/>
          </w:tcPr>
          <w:p w14:paraId="65961D1D"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b/>
                <w:bCs/>
                <w:color w:val="FFFFFF"/>
                <w:sz w:val="16"/>
                <w:szCs w:val="16"/>
                <w:lang w:eastAsia="nl-NL"/>
              </w:rPr>
              <w:t>P10 Data Management</w:t>
            </w: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E7C39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9.5 Uitwisseling van (gevoelige) gegevens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3848555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38</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FE0B39"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2015AC8"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90472A9"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tcPr>
          <w:p w14:paraId="3AAFAC97"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07CE59D"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528179D2"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1B3A465D" w14:textId="77777777" w:rsidTr="00A76C5C">
        <w:trPr>
          <w:trHeight w:val="250"/>
        </w:trPr>
        <w:tc>
          <w:tcPr>
            <w:tcW w:w="2253" w:type="dxa"/>
            <w:vMerge/>
            <w:tcBorders>
              <w:left w:val="single" w:sz="8" w:space="0" w:color="auto"/>
              <w:bottom w:val="single" w:sz="8" w:space="0" w:color="FFFFFF"/>
              <w:right w:val="single" w:sz="8" w:space="0" w:color="auto"/>
            </w:tcBorders>
            <w:shd w:val="clear" w:color="auto" w:fill="00B050"/>
            <w:noWrap/>
            <w:vAlign w:val="center"/>
          </w:tcPr>
          <w:p w14:paraId="3617BA50"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753501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9.6 Verwijdering van data</w:t>
            </w:r>
          </w:p>
        </w:tc>
        <w:tc>
          <w:tcPr>
            <w:tcW w:w="312" w:type="dxa"/>
            <w:tcBorders>
              <w:top w:val="single" w:sz="4" w:space="0" w:color="auto"/>
              <w:left w:val="single" w:sz="4" w:space="0" w:color="auto"/>
              <w:bottom w:val="single" w:sz="8" w:space="0" w:color="auto"/>
              <w:right w:val="single" w:sz="4" w:space="0" w:color="auto"/>
            </w:tcBorders>
            <w:shd w:val="clear" w:color="auto" w:fill="auto"/>
            <w:vAlign w:val="center"/>
          </w:tcPr>
          <w:p w14:paraId="6234C26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39</w:t>
            </w: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D128B70"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6B7C0CFE"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110B6D2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8" w:space="0" w:color="auto"/>
              <w:right w:val="single" w:sz="8" w:space="0" w:color="auto"/>
            </w:tcBorders>
            <w:shd w:val="clear" w:color="auto" w:fill="D9D9D9"/>
            <w:noWrap/>
            <w:vAlign w:val="center"/>
          </w:tcPr>
          <w:p w14:paraId="7E6734D3"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86283AD"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56627BF5"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2121F82D" w14:textId="77777777" w:rsidTr="00A76C5C">
        <w:trPr>
          <w:trHeight w:val="250"/>
        </w:trPr>
        <w:tc>
          <w:tcPr>
            <w:tcW w:w="2253" w:type="dxa"/>
            <w:vMerge w:val="restart"/>
            <w:tcBorders>
              <w:top w:val="single" w:sz="8" w:space="0" w:color="FFFFFF"/>
              <w:left w:val="single" w:sz="8" w:space="0" w:color="auto"/>
              <w:bottom w:val="single" w:sz="4" w:space="0" w:color="auto"/>
              <w:right w:val="single" w:sz="8" w:space="0" w:color="auto"/>
            </w:tcBorders>
            <w:shd w:val="clear" w:color="auto" w:fill="00B050"/>
            <w:noWrap/>
            <w:vAlign w:val="center"/>
          </w:tcPr>
          <w:p w14:paraId="25AA27E4" w14:textId="77777777" w:rsidR="00A76C5C" w:rsidRPr="00A76C5C" w:rsidRDefault="00A76C5C" w:rsidP="00A76C5C">
            <w:pPr>
              <w:contextualSpacing w:val="0"/>
              <w:rPr>
                <w:rFonts w:eastAsia="Times New Roman" w:cs="Calibri"/>
                <w:b/>
                <w:bCs/>
                <w:color w:val="FFFFFF"/>
                <w:sz w:val="16"/>
                <w:szCs w:val="16"/>
                <w:lang w:eastAsia="nl-NL"/>
              </w:rPr>
            </w:pPr>
            <w:bookmarkStart w:id="46" w:name="_Hlk119239809"/>
            <w:r w:rsidRPr="00A76C5C">
              <w:rPr>
                <w:rFonts w:eastAsia="Times New Roman" w:cs="Calibri"/>
                <w:b/>
                <w:bCs/>
                <w:color w:val="FFFFFF"/>
                <w:sz w:val="16"/>
                <w:szCs w:val="16"/>
                <w:lang w:eastAsia="nl-NL"/>
              </w:rPr>
              <w:t>P11 IAM</w:t>
            </w:r>
          </w:p>
          <w:bookmarkEnd w:id="46"/>
          <w:p w14:paraId="0BC921F5"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 </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E287C7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10.1 Toegangsrechten</w:t>
            </w:r>
          </w:p>
        </w:tc>
        <w:tc>
          <w:tcPr>
            <w:tcW w:w="312" w:type="dxa"/>
            <w:tcBorders>
              <w:top w:val="single" w:sz="8" w:space="0" w:color="auto"/>
              <w:left w:val="single" w:sz="4" w:space="0" w:color="auto"/>
              <w:bottom w:val="single" w:sz="4" w:space="0" w:color="auto"/>
              <w:right w:val="single" w:sz="4" w:space="0" w:color="auto"/>
            </w:tcBorders>
            <w:shd w:val="clear" w:color="auto" w:fill="auto"/>
            <w:vAlign w:val="center"/>
          </w:tcPr>
          <w:p w14:paraId="323B872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40</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30BC6CD6"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47A811C7"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15BED67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8" w:space="0" w:color="auto"/>
              <w:left w:val="single" w:sz="4" w:space="0" w:color="auto"/>
              <w:bottom w:val="single" w:sz="4" w:space="0" w:color="auto"/>
              <w:right w:val="single" w:sz="8" w:space="0" w:color="auto"/>
            </w:tcBorders>
            <w:shd w:val="clear" w:color="auto" w:fill="D9D9D9"/>
            <w:noWrap/>
            <w:vAlign w:val="center"/>
          </w:tcPr>
          <w:p w14:paraId="553543AE"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7723E81"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74D4C1F6"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11A11328"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2F3A88ED"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A3B6E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10.2 Administratie van toegangsrechten</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6AAB93D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41</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54025D"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8EB8067"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DA9C85B"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tcPr>
          <w:p w14:paraId="55783C33"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0AA5503"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218BF775"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66B49B58"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6B68A7BA"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F789FD"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10.3 Super Users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3B75711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42</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7FA84A"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367F62C"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65BE74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tcPr>
          <w:p w14:paraId="3EC45AD8"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0DDDF866"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178F1210"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089307B8" w14:textId="77777777" w:rsidTr="00A76C5C">
        <w:trPr>
          <w:trHeight w:val="250"/>
        </w:trPr>
        <w:tc>
          <w:tcPr>
            <w:tcW w:w="2253" w:type="dxa"/>
            <w:vMerge/>
            <w:tcBorders>
              <w:top w:val="single" w:sz="4" w:space="0" w:color="auto"/>
              <w:left w:val="single" w:sz="8" w:space="0" w:color="auto"/>
              <w:bottom w:val="single" w:sz="4" w:space="0" w:color="auto"/>
              <w:right w:val="single" w:sz="8" w:space="0" w:color="auto"/>
            </w:tcBorders>
            <w:shd w:val="clear" w:color="auto" w:fill="00B050"/>
            <w:noWrap/>
            <w:vAlign w:val="center"/>
          </w:tcPr>
          <w:p w14:paraId="39B86D44"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448B90"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10.4 Noodtoegang (envelopprocedure/breek-het-glasprocedure)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27AB068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43</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273725"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67B842B"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B8A5DE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4" w:space="0" w:color="auto"/>
              <w:right w:val="single" w:sz="8" w:space="0" w:color="auto"/>
            </w:tcBorders>
            <w:shd w:val="clear" w:color="auto" w:fill="D9D9D9"/>
            <w:noWrap/>
            <w:vAlign w:val="center"/>
          </w:tcPr>
          <w:p w14:paraId="76406F08"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20F06E22"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42BDDB4E"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703B634B" w14:textId="77777777" w:rsidTr="00A76C5C">
        <w:trPr>
          <w:trHeight w:val="250"/>
        </w:trPr>
        <w:tc>
          <w:tcPr>
            <w:tcW w:w="2253" w:type="dxa"/>
            <w:vMerge/>
            <w:tcBorders>
              <w:top w:val="single" w:sz="4" w:space="0" w:color="auto"/>
              <w:left w:val="single" w:sz="8" w:space="0" w:color="auto"/>
              <w:bottom w:val="single" w:sz="8" w:space="0" w:color="FFFFFF"/>
              <w:right w:val="single" w:sz="8" w:space="0" w:color="auto"/>
            </w:tcBorders>
            <w:shd w:val="clear" w:color="auto" w:fill="00B050"/>
            <w:noWrap/>
            <w:vAlign w:val="center"/>
          </w:tcPr>
          <w:p w14:paraId="0B9BE328" w14:textId="77777777" w:rsidR="00A76C5C" w:rsidRPr="00A76C5C" w:rsidRDefault="00A76C5C" w:rsidP="00A76C5C">
            <w:pPr>
              <w:contextualSpacing w:val="0"/>
              <w:rPr>
                <w:rFonts w:eastAsia="Times New Roman" w:cs="Calibri"/>
                <w:color w:val="000000"/>
                <w:sz w:val="16"/>
                <w:szCs w:val="16"/>
                <w:lang w:eastAsia="nl-NL"/>
              </w:rPr>
            </w:pPr>
          </w:p>
        </w:tc>
        <w:tc>
          <w:tcPr>
            <w:tcW w:w="509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66629A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10.5 Periodieke beoordeling van toegangsrechten</w:t>
            </w:r>
          </w:p>
        </w:tc>
        <w:tc>
          <w:tcPr>
            <w:tcW w:w="312" w:type="dxa"/>
            <w:tcBorders>
              <w:top w:val="single" w:sz="4" w:space="0" w:color="auto"/>
              <w:left w:val="single" w:sz="4" w:space="0" w:color="auto"/>
              <w:bottom w:val="single" w:sz="8" w:space="0" w:color="auto"/>
              <w:right w:val="single" w:sz="4" w:space="0" w:color="auto"/>
            </w:tcBorders>
            <w:shd w:val="clear" w:color="auto" w:fill="auto"/>
            <w:vAlign w:val="center"/>
          </w:tcPr>
          <w:p w14:paraId="4859E23C"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44</w:t>
            </w: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3B48F289"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88D4A55"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5F69938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567" w:type="dxa"/>
            <w:tcBorders>
              <w:top w:val="single" w:sz="4" w:space="0" w:color="auto"/>
              <w:left w:val="single" w:sz="4" w:space="0" w:color="auto"/>
              <w:bottom w:val="single" w:sz="8" w:space="0" w:color="auto"/>
              <w:right w:val="single" w:sz="8" w:space="0" w:color="auto"/>
            </w:tcBorders>
            <w:shd w:val="clear" w:color="auto" w:fill="D9D9D9"/>
            <w:noWrap/>
            <w:vAlign w:val="center"/>
          </w:tcPr>
          <w:p w14:paraId="704E0E4A"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D872211"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tcPr>
          <w:p w14:paraId="4432E9AD"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16FD60EF" w14:textId="77777777" w:rsidTr="00A76C5C">
        <w:trPr>
          <w:trHeight w:val="250"/>
        </w:trPr>
        <w:tc>
          <w:tcPr>
            <w:tcW w:w="2253" w:type="dxa"/>
            <w:tcBorders>
              <w:top w:val="single" w:sz="8" w:space="0" w:color="FFFFFF"/>
              <w:left w:val="single" w:sz="8" w:space="0" w:color="auto"/>
              <w:bottom w:val="single" w:sz="8" w:space="0" w:color="FFFFFF"/>
              <w:right w:val="single" w:sz="8" w:space="0" w:color="auto"/>
            </w:tcBorders>
            <w:shd w:val="clear" w:color="auto" w:fill="00B050"/>
            <w:noWrap/>
            <w:vAlign w:val="center"/>
          </w:tcPr>
          <w:p w14:paraId="315D1F18"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P12 Security Baselines</w:t>
            </w:r>
          </w:p>
        </w:tc>
        <w:tc>
          <w:tcPr>
            <w:tcW w:w="50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C7EB675"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 Security baselines</w:t>
            </w:r>
          </w:p>
        </w:tc>
        <w:tc>
          <w:tcPr>
            <w:tcW w:w="312" w:type="dxa"/>
            <w:tcBorders>
              <w:top w:val="single" w:sz="8" w:space="0" w:color="auto"/>
              <w:left w:val="single" w:sz="4" w:space="0" w:color="auto"/>
              <w:bottom w:val="single" w:sz="8" w:space="0" w:color="auto"/>
              <w:right w:val="single" w:sz="4" w:space="0" w:color="auto"/>
            </w:tcBorders>
            <w:shd w:val="clear" w:color="auto" w:fill="auto"/>
            <w:vAlign w:val="center"/>
          </w:tcPr>
          <w:p w14:paraId="042A7F1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45</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6D59A3D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22EF41D4"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4FBD29DF"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8" w:space="0" w:color="auto"/>
            </w:tcBorders>
            <w:shd w:val="clear" w:color="auto" w:fill="D9D9D9"/>
            <w:noWrap/>
            <w:vAlign w:val="center"/>
          </w:tcPr>
          <w:p w14:paraId="26FC314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9"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33FAF511"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1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D984E37" w14:textId="2677FE4B"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College van Bestuur</w:t>
            </w:r>
          </w:p>
        </w:tc>
      </w:tr>
      <w:tr w:rsidR="00A76C5C" w:rsidRPr="00A76C5C" w14:paraId="1E6A21E6" w14:textId="77777777" w:rsidTr="00A76C5C">
        <w:trPr>
          <w:trHeight w:val="250"/>
        </w:trPr>
        <w:tc>
          <w:tcPr>
            <w:tcW w:w="2253" w:type="dxa"/>
            <w:tcBorders>
              <w:top w:val="single" w:sz="8" w:space="0" w:color="FFFFFF"/>
              <w:left w:val="single" w:sz="8" w:space="0" w:color="auto"/>
              <w:bottom w:val="single" w:sz="8" w:space="0" w:color="auto"/>
              <w:right w:val="single" w:sz="8" w:space="0" w:color="auto"/>
            </w:tcBorders>
            <w:shd w:val="clear" w:color="auto" w:fill="C00000"/>
            <w:noWrap/>
            <w:vAlign w:val="center"/>
          </w:tcPr>
          <w:p w14:paraId="117C7935" w14:textId="77777777" w:rsidR="00A76C5C" w:rsidRPr="00A76C5C" w:rsidRDefault="00A76C5C" w:rsidP="00A76C5C">
            <w:pPr>
              <w:contextualSpacing w:val="0"/>
              <w:rPr>
                <w:rFonts w:eastAsia="Times New Roman" w:cs="Calibri"/>
                <w:b/>
                <w:bCs/>
                <w:color w:val="FFFFFF"/>
                <w:sz w:val="16"/>
                <w:szCs w:val="16"/>
                <w:lang w:eastAsia="nl-NL"/>
              </w:rPr>
            </w:pPr>
            <w:r w:rsidRPr="00A76C5C">
              <w:rPr>
                <w:rFonts w:eastAsia="Times New Roman" w:cs="Calibri"/>
                <w:b/>
                <w:bCs/>
                <w:color w:val="FFFFFF"/>
                <w:sz w:val="16"/>
                <w:szCs w:val="16"/>
                <w:lang w:eastAsia="nl-NL"/>
              </w:rPr>
              <w:t>T15 MFA - Thuiswerken</w:t>
            </w:r>
          </w:p>
        </w:tc>
        <w:tc>
          <w:tcPr>
            <w:tcW w:w="50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F42AB8F"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11.2 Authenticatiemechanismes</w:t>
            </w:r>
          </w:p>
        </w:tc>
        <w:tc>
          <w:tcPr>
            <w:tcW w:w="312" w:type="dxa"/>
            <w:tcBorders>
              <w:top w:val="single" w:sz="8" w:space="0" w:color="auto"/>
              <w:left w:val="single" w:sz="4" w:space="0" w:color="auto"/>
              <w:bottom w:val="single" w:sz="4" w:space="0" w:color="auto"/>
              <w:right w:val="single" w:sz="4" w:space="0" w:color="auto"/>
            </w:tcBorders>
            <w:vAlign w:val="center"/>
          </w:tcPr>
          <w:p w14:paraId="6BBC8DD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55</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3B99C1AD"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nil"/>
              <w:bottom w:val="single" w:sz="4" w:space="0" w:color="auto"/>
              <w:right w:val="single" w:sz="4" w:space="0" w:color="auto"/>
            </w:tcBorders>
            <w:shd w:val="clear" w:color="auto" w:fill="D9D9D9"/>
            <w:noWrap/>
            <w:vAlign w:val="center"/>
          </w:tcPr>
          <w:p w14:paraId="14A7E497"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nil"/>
              <w:bottom w:val="single" w:sz="4" w:space="0" w:color="auto"/>
              <w:right w:val="single" w:sz="4" w:space="0" w:color="auto"/>
            </w:tcBorders>
            <w:shd w:val="clear" w:color="000000" w:fill="FFFF00"/>
            <w:noWrap/>
            <w:vAlign w:val="center"/>
          </w:tcPr>
          <w:p w14:paraId="07F92710"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nil"/>
              <w:bottom w:val="single" w:sz="4" w:space="0" w:color="auto"/>
              <w:right w:val="single" w:sz="8" w:space="0" w:color="auto"/>
            </w:tcBorders>
            <w:shd w:val="clear" w:color="auto" w:fill="D9D9D9"/>
            <w:noWrap/>
            <w:vAlign w:val="center"/>
          </w:tcPr>
          <w:p w14:paraId="7C5C38BF" w14:textId="77777777" w:rsidR="00A76C5C" w:rsidRPr="00A76C5C" w:rsidRDefault="00A76C5C" w:rsidP="00A76C5C">
            <w:pPr>
              <w:contextualSpacing w:val="0"/>
              <w:jc w:val="center"/>
              <w:rPr>
                <w:rFonts w:eastAsia="Times New Roman" w:cs="Calibri"/>
                <w:b/>
                <w:bCs/>
                <w:sz w:val="16"/>
                <w:szCs w:val="16"/>
                <w:lang w:eastAsia="nl-NL"/>
              </w:rPr>
            </w:pPr>
          </w:p>
        </w:tc>
        <w:tc>
          <w:tcPr>
            <w:tcW w:w="879" w:type="dxa"/>
            <w:tcBorders>
              <w:top w:val="single" w:sz="4" w:space="0" w:color="FFFFFF"/>
              <w:left w:val="single" w:sz="8" w:space="0" w:color="auto"/>
              <w:bottom w:val="single" w:sz="4" w:space="0" w:color="FFFFFF"/>
              <w:right w:val="single" w:sz="8" w:space="0" w:color="auto"/>
            </w:tcBorders>
            <w:shd w:val="clear" w:color="auto" w:fill="C00000"/>
            <w:noWrap/>
            <w:vAlign w:val="center"/>
          </w:tcPr>
          <w:p w14:paraId="78F9F078"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FFFFFF"/>
                <w:sz w:val="16"/>
                <w:szCs w:val="16"/>
                <w:lang w:eastAsia="nl-NL"/>
              </w:rPr>
              <w:t>20K</w:t>
            </w:r>
          </w:p>
        </w:tc>
        <w:tc>
          <w:tcPr>
            <w:tcW w:w="1814" w:type="dxa"/>
            <w:gridSpan w:val="2"/>
            <w:tcBorders>
              <w:top w:val="single" w:sz="8" w:space="0" w:color="auto"/>
              <w:left w:val="single" w:sz="8" w:space="0" w:color="auto"/>
              <w:bottom w:val="single" w:sz="4" w:space="0" w:color="auto"/>
              <w:right w:val="single" w:sz="8" w:space="0" w:color="auto"/>
            </w:tcBorders>
            <w:shd w:val="clear" w:color="auto" w:fill="auto"/>
          </w:tcPr>
          <w:p w14:paraId="278B19D1" w14:textId="39F6FFB8"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Hoofd ICT</w:t>
            </w:r>
          </w:p>
        </w:tc>
      </w:tr>
      <w:tr w:rsidR="00A76C5C" w:rsidRPr="00A76C5C" w14:paraId="1ED24368" w14:textId="77777777" w:rsidTr="00A76C5C">
        <w:trPr>
          <w:gridAfter w:val="1"/>
          <w:wAfter w:w="11" w:type="dxa"/>
          <w:cantSplit/>
          <w:trHeight w:val="1134"/>
        </w:trPr>
        <w:tc>
          <w:tcPr>
            <w:tcW w:w="225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8A32628" w14:textId="77777777" w:rsidR="00A76C5C" w:rsidRPr="00A76C5C" w:rsidRDefault="00A76C5C" w:rsidP="00A76C5C">
            <w:pPr>
              <w:contextualSpacing w:val="0"/>
              <w:rPr>
                <w:rFonts w:eastAsia="Times New Roman" w:cs="Calibri"/>
                <w:color w:val="000000"/>
                <w:sz w:val="14"/>
                <w:szCs w:val="14"/>
                <w:lang w:eastAsia="nl-NL"/>
              </w:rPr>
            </w:pPr>
            <w:bookmarkStart w:id="47" w:name="_Hlk119325798"/>
          </w:p>
        </w:tc>
        <w:tc>
          <w:tcPr>
            <w:tcW w:w="509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5FBAFCF" w14:textId="77777777" w:rsidR="00A76C5C" w:rsidRPr="00A76C5C" w:rsidRDefault="00A76C5C" w:rsidP="00A76C5C">
            <w:pPr>
              <w:contextualSpacing w:val="0"/>
              <w:rPr>
                <w:rFonts w:eastAsia="Times New Roman" w:cs="Calibri"/>
                <w:color w:val="000000"/>
                <w:sz w:val="32"/>
                <w:szCs w:val="32"/>
                <w:lang w:eastAsia="nl-NL"/>
              </w:rPr>
            </w:pPr>
            <w:r w:rsidRPr="00A76C5C">
              <w:rPr>
                <w:rFonts w:eastAsia="Times New Roman" w:cs="Calibri"/>
                <w:b/>
                <w:bCs/>
                <w:color w:val="000000"/>
                <w:sz w:val="32"/>
                <w:szCs w:val="32"/>
                <w:lang w:eastAsia="nl-NL"/>
              </w:rPr>
              <w:t>Gegeven risicoscore (Netto score)</w:t>
            </w:r>
          </w:p>
        </w:tc>
        <w:tc>
          <w:tcPr>
            <w:tcW w:w="312" w:type="dxa"/>
            <w:tcBorders>
              <w:top w:val="single" w:sz="8" w:space="0" w:color="auto"/>
              <w:left w:val="single" w:sz="4" w:space="0" w:color="auto"/>
              <w:bottom w:val="single" w:sz="8" w:space="0" w:color="auto"/>
              <w:right w:val="nil"/>
            </w:tcBorders>
            <w:vAlign w:val="center"/>
          </w:tcPr>
          <w:p w14:paraId="33948BE4" w14:textId="77777777" w:rsidR="00A76C5C" w:rsidRPr="00A76C5C" w:rsidRDefault="00A76C5C" w:rsidP="00A76C5C">
            <w:pPr>
              <w:contextualSpacing w:val="0"/>
              <w:rPr>
                <w:rFonts w:eastAsia="Times New Roman" w:cs="Calibri"/>
                <w:b/>
                <w:bCs/>
                <w:sz w:val="14"/>
                <w:szCs w:val="14"/>
                <w:lang w:eastAsia="nl-NL"/>
              </w:rPr>
            </w:pP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64C76EAF"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R2</w:t>
            </w:r>
          </w:p>
          <w:p w14:paraId="51EE2D01"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Ransomware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39415BC0"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R3</w:t>
            </w:r>
          </w:p>
          <w:p w14:paraId="1B69AD2B"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Cloud</w:t>
            </w:r>
          </w:p>
        </w:tc>
        <w:tc>
          <w:tcPr>
            <w:tcW w:w="567" w:type="dxa"/>
            <w:tcBorders>
              <w:top w:val="single" w:sz="8" w:space="0" w:color="auto"/>
              <w:left w:val="single" w:sz="4" w:space="0" w:color="auto"/>
              <w:bottom w:val="single" w:sz="8" w:space="0" w:color="auto"/>
              <w:right w:val="single" w:sz="4" w:space="0" w:color="auto"/>
            </w:tcBorders>
            <w:shd w:val="clear" w:color="auto" w:fill="00B0F0"/>
            <w:noWrap/>
            <w:textDirection w:val="tbRl"/>
            <w:vAlign w:val="center"/>
          </w:tcPr>
          <w:p w14:paraId="40250AFC"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R4</w:t>
            </w:r>
          </w:p>
          <w:p w14:paraId="68234082"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Identiteitsfraude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2B6EA8B3"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R5</w:t>
            </w:r>
          </w:p>
          <w:p w14:paraId="4F4A9CF7"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Bewaartermijnen</w:t>
            </w:r>
          </w:p>
        </w:tc>
        <w:tc>
          <w:tcPr>
            <w:tcW w:w="879" w:type="dxa"/>
            <w:tcBorders>
              <w:top w:val="single" w:sz="8" w:space="0" w:color="auto"/>
              <w:left w:val="nil"/>
              <w:bottom w:val="single" w:sz="8" w:space="0" w:color="auto"/>
              <w:right w:val="single" w:sz="8" w:space="0" w:color="auto"/>
            </w:tcBorders>
            <w:shd w:val="clear" w:color="auto" w:fill="auto"/>
            <w:noWrap/>
            <w:vAlign w:val="center"/>
          </w:tcPr>
          <w:p w14:paraId="7C748392" w14:textId="77777777" w:rsidR="00A76C5C" w:rsidRPr="00A76C5C" w:rsidRDefault="00A76C5C" w:rsidP="00A76C5C">
            <w:pPr>
              <w:contextualSpacing w:val="0"/>
              <w:jc w:val="center"/>
              <w:rPr>
                <w:rFonts w:eastAsia="Times New Roman" w:cs="Calibri"/>
                <w:color w:val="000000"/>
                <w:sz w:val="14"/>
                <w:szCs w:val="14"/>
                <w:lang w:eastAsia="nl-NL"/>
              </w:rPr>
            </w:pPr>
          </w:p>
        </w:tc>
        <w:tc>
          <w:tcPr>
            <w:tcW w:w="1803" w:type="dxa"/>
            <w:tcBorders>
              <w:top w:val="single" w:sz="8" w:space="0" w:color="auto"/>
              <w:left w:val="nil"/>
              <w:bottom w:val="single" w:sz="8" w:space="0" w:color="FFFFFF"/>
              <w:right w:val="single" w:sz="8" w:space="0" w:color="FFFFFF"/>
            </w:tcBorders>
          </w:tcPr>
          <w:p w14:paraId="1CE8820F" w14:textId="77777777" w:rsidR="00A76C5C" w:rsidRPr="00A76C5C" w:rsidRDefault="00A76C5C" w:rsidP="00A76C5C">
            <w:pPr>
              <w:contextualSpacing w:val="0"/>
              <w:jc w:val="center"/>
              <w:rPr>
                <w:rFonts w:eastAsia="Times New Roman" w:cs="Calibri"/>
                <w:color w:val="000000"/>
                <w:sz w:val="14"/>
                <w:szCs w:val="14"/>
                <w:lang w:eastAsia="nl-NL"/>
              </w:rPr>
            </w:pPr>
          </w:p>
        </w:tc>
      </w:tr>
      <w:bookmarkEnd w:id="47"/>
    </w:tbl>
    <w:p w14:paraId="0370AAFA" w14:textId="77777777" w:rsidR="00A76C5C" w:rsidRPr="00A76C5C" w:rsidRDefault="00A76C5C" w:rsidP="00A76C5C">
      <w:pPr>
        <w:spacing w:after="160" w:line="259" w:lineRule="auto"/>
        <w:contextualSpacing w:val="0"/>
        <w:rPr>
          <w:rFonts w:eastAsia="Times New Roman"/>
          <w:szCs w:val="22"/>
        </w:rPr>
      </w:pPr>
    </w:p>
    <w:p w14:paraId="145BE328" w14:textId="77777777" w:rsidR="00A76C5C" w:rsidRPr="00A76C5C" w:rsidRDefault="00A76C5C" w:rsidP="00A76C5C">
      <w:pPr>
        <w:contextualSpacing w:val="0"/>
        <w:rPr>
          <w:rFonts w:eastAsia="Times New Roman" w:cs="Calibri"/>
          <w:i/>
          <w:iCs/>
          <w:sz w:val="16"/>
          <w:szCs w:val="16"/>
          <w:lang w:eastAsia="nl-NL"/>
        </w:rPr>
      </w:pPr>
      <w:r w:rsidRPr="00A76C5C">
        <w:rPr>
          <w:b/>
          <w:bCs/>
          <w:i/>
          <w:iCs/>
          <w:color w:val="0070C0"/>
          <w:szCs w:val="22"/>
        </w:rPr>
        <w:t>Leidend</w:t>
      </w:r>
      <w:r w:rsidRPr="00A76C5C">
        <w:rPr>
          <w:i/>
          <w:iCs/>
          <w:color w:val="0070C0"/>
          <w:szCs w:val="22"/>
        </w:rPr>
        <w:t xml:space="preserve">: </w:t>
      </w:r>
      <w:r w:rsidRPr="00A76C5C">
        <w:rPr>
          <w:rFonts w:eastAsia="Times New Roman" w:cs="Calibri"/>
          <w:b/>
          <w:bCs/>
          <w:color w:val="FFFFFF"/>
          <w:sz w:val="16"/>
          <w:szCs w:val="16"/>
          <w:shd w:val="clear" w:color="auto" w:fill="00B050"/>
          <w:lang w:eastAsia="nl-NL"/>
        </w:rPr>
        <w:t xml:space="preserve">P11 IAM </w:t>
      </w:r>
      <w:r w:rsidRPr="00A76C5C">
        <w:rPr>
          <w:rFonts w:eastAsia="Times New Roman" w:cs="Calibri"/>
          <w:i/>
          <w:iCs/>
          <w:lang w:eastAsia="nl-NL"/>
        </w:rPr>
        <w:t xml:space="preserve"> is in 2023 vastgesteld. Dit is een complex proces omdat het onderwijs, bedrijfsvoering en applicatie beheer een rol spelen.</w:t>
      </w:r>
    </w:p>
    <w:p w14:paraId="24264110" w14:textId="77777777" w:rsidR="00A76C5C" w:rsidRPr="00A76C5C" w:rsidRDefault="00A76C5C" w:rsidP="00A76C5C">
      <w:pPr>
        <w:spacing w:after="160" w:line="259" w:lineRule="auto"/>
        <w:contextualSpacing w:val="0"/>
        <w:rPr>
          <w:rFonts w:ascii="Calibri Light" w:eastAsia="Times New Roman" w:hAnsi="Calibri Light"/>
          <w:b/>
          <w:color w:val="2F5496"/>
          <w:sz w:val="26"/>
          <w:szCs w:val="26"/>
        </w:rPr>
      </w:pPr>
      <w:r w:rsidRPr="00A76C5C">
        <w:rPr>
          <w:rFonts w:eastAsia="Times New Roman"/>
          <w:szCs w:val="22"/>
        </w:rPr>
        <w:br w:type="page"/>
      </w:r>
    </w:p>
    <w:p w14:paraId="6A9AB9E2" w14:textId="091C28B0" w:rsidR="00A76C5C" w:rsidRPr="00A76C5C" w:rsidRDefault="00377E89" w:rsidP="007D3670">
      <w:pPr>
        <w:pStyle w:val="Lijstalinea1"/>
      </w:pPr>
      <w:bookmarkStart w:id="48" w:name="_Toc119927044"/>
      <w:r>
        <w:lastRenderedPageBreak/>
        <w:t xml:space="preserve">R5 </w:t>
      </w:r>
      <w:r w:rsidR="00A76C5C" w:rsidRPr="00A76C5C">
        <w:t>Bewaartermijnen</w:t>
      </w:r>
      <w:bookmarkEnd w:id="48"/>
    </w:p>
    <w:tbl>
      <w:tblPr>
        <w:tblW w:w="12622" w:type="dxa"/>
        <w:tblInd w:w="-5" w:type="dxa"/>
        <w:tblLayout w:type="fixed"/>
        <w:tblCellMar>
          <w:left w:w="70" w:type="dxa"/>
          <w:right w:w="70" w:type="dxa"/>
        </w:tblCellMar>
        <w:tblLook w:val="04A0" w:firstRow="1" w:lastRow="0" w:firstColumn="1" w:lastColumn="0" w:noHBand="0" w:noVBand="1"/>
      </w:tblPr>
      <w:tblGrid>
        <w:gridCol w:w="2250"/>
        <w:gridCol w:w="5091"/>
        <w:gridCol w:w="312"/>
        <w:gridCol w:w="567"/>
        <w:gridCol w:w="567"/>
        <w:gridCol w:w="567"/>
        <w:gridCol w:w="567"/>
        <w:gridCol w:w="878"/>
        <w:gridCol w:w="1812"/>
        <w:gridCol w:w="11"/>
      </w:tblGrid>
      <w:tr w:rsidR="00A76C5C" w:rsidRPr="00A76C5C" w14:paraId="1F468D12" w14:textId="77777777" w:rsidTr="00A76C5C">
        <w:trPr>
          <w:cantSplit/>
          <w:trHeight w:val="1467"/>
        </w:trPr>
        <w:tc>
          <w:tcPr>
            <w:tcW w:w="22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CDA0059"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Thema’s</w:t>
            </w:r>
          </w:p>
        </w:tc>
        <w:tc>
          <w:tcPr>
            <w:tcW w:w="5091" w:type="dxa"/>
            <w:tcBorders>
              <w:top w:val="single" w:sz="8" w:space="0" w:color="auto"/>
              <w:left w:val="nil"/>
              <w:bottom w:val="single" w:sz="8" w:space="0" w:color="auto"/>
              <w:right w:val="single" w:sz="4" w:space="0" w:color="auto"/>
            </w:tcBorders>
            <w:shd w:val="clear" w:color="auto" w:fill="D9D9D9"/>
            <w:noWrap/>
            <w:vAlign w:val="center"/>
            <w:hideMark/>
          </w:tcPr>
          <w:p w14:paraId="624C29BA" w14:textId="77777777" w:rsidR="00A76C5C" w:rsidRPr="00A76C5C" w:rsidRDefault="00A76C5C" w:rsidP="00A76C5C">
            <w:pPr>
              <w:contextualSpacing w:val="0"/>
              <w:rPr>
                <w:rFonts w:eastAsia="Times New Roman" w:cs="Calibri"/>
                <w:b/>
                <w:bCs/>
                <w:color w:val="000000"/>
                <w:sz w:val="32"/>
                <w:szCs w:val="32"/>
                <w:lang w:eastAsia="nl-NL"/>
              </w:rPr>
            </w:pPr>
            <w:r w:rsidRPr="00A76C5C">
              <w:rPr>
                <w:rFonts w:eastAsia="Times New Roman" w:cs="Calibri"/>
                <w:b/>
                <w:bCs/>
                <w:color w:val="000000"/>
                <w:sz w:val="32"/>
                <w:szCs w:val="32"/>
                <w:lang w:eastAsia="nl-NL"/>
              </w:rPr>
              <w:t>Verwijzing naar NBA</w:t>
            </w:r>
          </w:p>
        </w:tc>
        <w:tc>
          <w:tcPr>
            <w:tcW w:w="312" w:type="dxa"/>
            <w:tcBorders>
              <w:top w:val="single" w:sz="8" w:space="0" w:color="auto"/>
              <w:left w:val="nil"/>
              <w:bottom w:val="single" w:sz="8" w:space="0" w:color="auto"/>
              <w:right w:val="single" w:sz="4" w:space="0" w:color="auto"/>
            </w:tcBorders>
            <w:shd w:val="clear" w:color="auto" w:fill="auto"/>
            <w:vAlign w:val="center"/>
          </w:tcPr>
          <w:p w14:paraId="1EE9A4C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046348D4"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R2</w:t>
            </w:r>
          </w:p>
          <w:p w14:paraId="6FED9B05"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Ransomware</w:t>
            </w:r>
          </w:p>
        </w:tc>
        <w:tc>
          <w:tcPr>
            <w:tcW w:w="567" w:type="dxa"/>
            <w:tcBorders>
              <w:top w:val="single" w:sz="8" w:space="0" w:color="000000"/>
              <w:left w:val="single" w:sz="4" w:space="0" w:color="000000"/>
              <w:bottom w:val="single" w:sz="8" w:space="0" w:color="000000"/>
              <w:right w:val="single" w:sz="4" w:space="0" w:color="000000"/>
            </w:tcBorders>
            <w:shd w:val="clear" w:color="auto" w:fill="FF0000"/>
            <w:noWrap/>
            <w:textDirection w:val="tbRl"/>
            <w:vAlign w:val="center"/>
            <w:hideMark/>
          </w:tcPr>
          <w:p w14:paraId="0960FCE4"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R3</w:t>
            </w:r>
          </w:p>
          <w:p w14:paraId="68D263DC"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Cloud computing</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6A4DCF21"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R4</w:t>
            </w:r>
          </w:p>
          <w:p w14:paraId="46100785"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Identiteitsfraude</w:t>
            </w:r>
          </w:p>
        </w:tc>
        <w:tc>
          <w:tcPr>
            <w:tcW w:w="567" w:type="dxa"/>
            <w:tcBorders>
              <w:top w:val="single" w:sz="8" w:space="0" w:color="000000"/>
              <w:left w:val="single" w:sz="4" w:space="0" w:color="000000"/>
              <w:bottom w:val="single" w:sz="8" w:space="0" w:color="000000"/>
              <w:right w:val="single" w:sz="4" w:space="0" w:color="000000"/>
            </w:tcBorders>
            <w:shd w:val="clear" w:color="auto" w:fill="FFC000"/>
            <w:noWrap/>
            <w:textDirection w:val="tbRl"/>
            <w:vAlign w:val="center"/>
            <w:hideMark/>
          </w:tcPr>
          <w:p w14:paraId="6FFD4DAF"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R5</w:t>
            </w:r>
          </w:p>
          <w:p w14:paraId="639A20A4" w14:textId="77777777" w:rsidR="00A76C5C" w:rsidRPr="00A76C5C" w:rsidRDefault="00A76C5C" w:rsidP="00A76C5C">
            <w:pPr>
              <w:ind w:left="113" w:right="113"/>
              <w:contextualSpacing w:val="0"/>
              <w:jc w:val="center"/>
              <w:rPr>
                <w:rFonts w:eastAsia="Times New Roman" w:cs="Calibri"/>
                <w:b/>
                <w:bCs/>
                <w:color w:val="FFFFFF"/>
                <w:sz w:val="16"/>
                <w:szCs w:val="16"/>
                <w:lang w:eastAsia="nl-NL"/>
              </w:rPr>
            </w:pPr>
            <w:r w:rsidRPr="00A76C5C">
              <w:rPr>
                <w:rFonts w:eastAsia="Times New Roman" w:cs="Calibri"/>
                <w:b/>
                <w:bCs/>
                <w:color w:val="FFFFFF"/>
                <w:sz w:val="16"/>
                <w:szCs w:val="16"/>
                <w:lang w:eastAsia="nl-NL"/>
              </w:rPr>
              <w:t>Bewaartermijnen</w:t>
            </w:r>
          </w:p>
        </w:tc>
        <w:tc>
          <w:tcPr>
            <w:tcW w:w="878" w:type="dxa"/>
            <w:tcBorders>
              <w:top w:val="single" w:sz="8" w:space="0" w:color="auto"/>
              <w:left w:val="nil"/>
              <w:bottom w:val="single" w:sz="8" w:space="0" w:color="auto"/>
              <w:right w:val="single" w:sz="8" w:space="0" w:color="auto"/>
            </w:tcBorders>
            <w:shd w:val="clear" w:color="auto" w:fill="auto"/>
            <w:noWrap/>
            <w:vAlign w:val="center"/>
            <w:hideMark/>
          </w:tcPr>
          <w:p w14:paraId="2AE32D57"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Kosten INDICATIEF</w:t>
            </w:r>
          </w:p>
        </w:tc>
        <w:tc>
          <w:tcPr>
            <w:tcW w:w="1823" w:type="dxa"/>
            <w:gridSpan w:val="2"/>
            <w:tcBorders>
              <w:top w:val="single" w:sz="8" w:space="0" w:color="auto"/>
              <w:left w:val="nil"/>
              <w:bottom w:val="single" w:sz="8" w:space="0" w:color="auto"/>
              <w:right w:val="single" w:sz="8" w:space="0" w:color="auto"/>
            </w:tcBorders>
            <w:shd w:val="clear" w:color="auto" w:fill="FFFF00"/>
            <w:vAlign w:val="center"/>
          </w:tcPr>
          <w:p w14:paraId="684F1C73" w14:textId="77777777" w:rsidR="00A76C5C" w:rsidRPr="00A76C5C" w:rsidRDefault="00A76C5C" w:rsidP="00A76C5C">
            <w:pPr>
              <w:contextualSpacing w:val="0"/>
              <w:jc w:val="center"/>
              <w:rPr>
                <w:rFonts w:eastAsia="Times New Roman" w:cs="Calibri"/>
                <w:b/>
                <w:bCs/>
                <w:color w:val="000000"/>
                <w:sz w:val="24"/>
                <w:szCs w:val="24"/>
                <w:lang w:eastAsia="nl-NL"/>
              </w:rPr>
            </w:pPr>
            <w:r w:rsidRPr="00A76C5C">
              <w:rPr>
                <w:rFonts w:eastAsia="Times New Roman" w:cs="Calibri"/>
                <w:b/>
                <w:bCs/>
                <w:color w:val="000000"/>
                <w:sz w:val="24"/>
                <w:szCs w:val="24"/>
                <w:lang w:eastAsia="nl-NL"/>
              </w:rPr>
              <w:t>Proceseigenaar</w:t>
            </w:r>
          </w:p>
          <w:p w14:paraId="3E034A4F"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b/>
                <w:bCs/>
                <w:color w:val="000000"/>
                <w:sz w:val="24"/>
                <w:szCs w:val="24"/>
                <w:lang w:eastAsia="nl-NL"/>
              </w:rPr>
              <w:t>Accountable</w:t>
            </w:r>
          </w:p>
        </w:tc>
      </w:tr>
      <w:tr w:rsidR="00A76C5C" w:rsidRPr="00A76C5C" w14:paraId="27FA01FE" w14:textId="77777777" w:rsidTr="00A76C5C">
        <w:trPr>
          <w:trHeight w:val="250"/>
        </w:trPr>
        <w:tc>
          <w:tcPr>
            <w:tcW w:w="2250" w:type="dxa"/>
            <w:vMerge w:val="restart"/>
            <w:tcBorders>
              <w:top w:val="single" w:sz="4" w:space="0" w:color="auto"/>
              <w:left w:val="single" w:sz="8" w:space="0" w:color="auto"/>
              <w:right w:val="single" w:sz="8" w:space="0" w:color="auto"/>
            </w:tcBorders>
            <w:shd w:val="clear" w:color="auto" w:fill="00B050"/>
            <w:noWrap/>
            <w:vAlign w:val="center"/>
          </w:tcPr>
          <w:p w14:paraId="709EB33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b/>
                <w:bCs/>
                <w:color w:val="FFFFFF"/>
                <w:sz w:val="16"/>
                <w:szCs w:val="16"/>
                <w:lang w:eastAsia="nl-NL"/>
              </w:rPr>
              <w:t>P10 Data Management</w:t>
            </w:r>
          </w:p>
        </w:tc>
        <w:tc>
          <w:tcPr>
            <w:tcW w:w="50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34F4B36"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9.1 Data (en systeem) eigenaarschap</w:t>
            </w:r>
          </w:p>
        </w:tc>
        <w:tc>
          <w:tcPr>
            <w:tcW w:w="312" w:type="dxa"/>
            <w:tcBorders>
              <w:top w:val="single" w:sz="8" w:space="0" w:color="auto"/>
              <w:left w:val="single" w:sz="4" w:space="0" w:color="auto"/>
              <w:bottom w:val="single" w:sz="4" w:space="0" w:color="auto"/>
              <w:right w:val="single" w:sz="4" w:space="0" w:color="auto"/>
            </w:tcBorders>
            <w:shd w:val="clear" w:color="auto" w:fill="auto"/>
            <w:vAlign w:val="center"/>
          </w:tcPr>
          <w:p w14:paraId="6405097E"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34</w:t>
            </w: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304A0D6D"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23F1E298"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4" w:space="0" w:color="auto"/>
            </w:tcBorders>
            <w:shd w:val="clear" w:color="auto" w:fill="D9D9D9"/>
            <w:noWrap/>
            <w:vAlign w:val="center"/>
          </w:tcPr>
          <w:p w14:paraId="118EAC73"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8" w:space="0" w:color="auto"/>
              <w:left w:val="single" w:sz="4" w:space="0" w:color="auto"/>
              <w:bottom w:val="single" w:sz="4" w:space="0" w:color="auto"/>
              <w:right w:val="single" w:sz="8" w:space="0" w:color="auto"/>
            </w:tcBorders>
            <w:shd w:val="clear" w:color="000000" w:fill="FFFF00"/>
            <w:noWrap/>
            <w:vAlign w:val="center"/>
          </w:tcPr>
          <w:p w14:paraId="297A7957"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8" w:type="dxa"/>
            <w:tcBorders>
              <w:top w:val="single" w:sz="8" w:space="0" w:color="auto"/>
              <w:left w:val="single" w:sz="8" w:space="0" w:color="auto"/>
              <w:bottom w:val="single" w:sz="4" w:space="0" w:color="FFFFFF"/>
              <w:right w:val="single" w:sz="8" w:space="0" w:color="auto"/>
            </w:tcBorders>
            <w:shd w:val="clear" w:color="auto" w:fill="00B050"/>
            <w:noWrap/>
            <w:vAlign w:val="center"/>
          </w:tcPr>
          <w:p w14:paraId="5A8DD5F8"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2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E56835B"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32FF2E99" w14:textId="77777777" w:rsidTr="00A76C5C">
        <w:trPr>
          <w:trHeight w:val="250"/>
        </w:trPr>
        <w:tc>
          <w:tcPr>
            <w:tcW w:w="2250" w:type="dxa"/>
            <w:vMerge/>
            <w:tcBorders>
              <w:left w:val="single" w:sz="8" w:space="0" w:color="auto"/>
              <w:right w:val="single" w:sz="8" w:space="0" w:color="auto"/>
            </w:tcBorders>
            <w:shd w:val="clear" w:color="auto" w:fill="00B050"/>
            <w:noWrap/>
            <w:vAlign w:val="center"/>
          </w:tcPr>
          <w:p w14:paraId="3D2B2F23" w14:textId="77777777" w:rsidR="00A76C5C" w:rsidRPr="00A76C5C" w:rsidRDefault="00A76C5C" w:rsidP="00A76C5C">
            <w:pPr>
              <w:contextualSpacing w:val="0"/>
              <w:rPr>
                <w:rFonts w:eastAsia="Times New Roman" w:cs="Calibri"/>
                <w:color w:val="000000"/>
                <w:sz w:val="16"/>
                <w:szCs w:val="16"/>
                <w:lang w:eastAsia="nl-NL"/>
              </w:rPr>
            </w:pPr>
          </w:p>
        </w:tc>
        <w:tc>
          <w:tcPr>
            <w:tcW w:w="509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BC1E98"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9.2 Classificatie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17EE6EA2"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35</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170648"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58D24B"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98874CA"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02F558A8"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8"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1956CE78"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23" w:type="dxa"/>
            <w:gridSpan w:val="2"/>
            <w:tcBorders>
              <w:top w:val="single" w:sz="4" w:space="0" w:color="auto"/>
              <w:left w:val="single" w:sz="8" w:space="0" w:color="auto"/>
              <w:bottom w:val="single" w:sz="4" w:space="0" w:color="auto"/>
              <w:right w:val="single" w:sz="8" w:space="0" w:color="auto"/>
            </w:tcBorders>
            <w:shd w:val="clear" w:color="auto" w:fill="auto"/>
          </w:tcPr>
          <w:p w14:paraId="323B963B" w14:textId="77777777" w:rsidR="00A76C5C" w:rsidRPr="00A76C5C" w:rsidRDefault="00A76C5C" w:rsidP="00A76C5C">
            <w:pPr>
              <w:contextualSpacing w:val="0"/>
              <w:jc w:val="center"/>
              <w:rPr>
                <w:rFonts w:eastAsia="Times New Roman" w:cs="Calibri"/>
                <w:color w:val="000000"/>
                <w:sz w:val="16"/>
                <w:szCs w:val="16"/>
                <w:lang w:eastAsia="nl-NL"/>
              </w:rPr>
            </w:pPr>
            <w:r w:rsidRPr="00A76C5C">
              <w:rPr>
                <w:rFonts w:eastAsia="Times New Roman" w:cs="Calibri"/>
                <w:color w:val="000000"/>
                <w:sz w:val="16"/>
                <w:szCs w:val="16"/>
                <w:lang w:eastAsia="nl-NL"/>
              </w:rPr>
              <w:t>Hoofd Studentenzaken</w:t>
            </w:r>
          </w:p>
        </w:tc>
      </w:tr>
      <w:tr w:rsidR="00A76C5C" w:rsidRPr="00A76C5C" w14:paraId="0B4B5DC0" w14:textId="77777777" w:rsidTr="00A76C5C">
        <w:trPr>
          <w:trHeight w:val="250"/>
        </w:trPr>
        <w:tc>
          <w:tcPr>
            <w:tcW w:w="2250" w:type="dxa"/>
            <w:vMerge/>
            <w:tcBorders>
              <w:left w:val="single" w:sz="8" w:space="0" w:color="auto"/>
              <w:right w:val="single" w:sz="8" w:space="0" w:color="auto"/>
            </w:tcBorders>
            <w:shd w:val="clear" w:color="auto" w:fill="00B050"/>
            <w:noWrap/>
            <w:vAlign w:val="center"/>
          </w:tcPr>
          <w:p w14:paraId="02AB8345" w14:textId="77777777" w:rsidR="00A76C5C" w:rsidRPr="00A76C5C" w:rsidRDefault="00A76C5C" w:rsidP="00A76C5C">
            <w:pPr>
              <w:contextualSpacing w:val="0"/>
              <w:rPr>
                <w:rFonts w:eastAsia="Times New Roman" w:cs="Calibri"/>
                <w:color w:val="000000"/>
                <w:sz w:val="16"/>
                <w:szCs w:val="16"/>
                <w:lang w:eastAsia="nl-NL"/>
              </w:rPr>
            </w:pPr>
          </w:p>
        </w:tc>
        <w:tc>
          <w:tcPr>
            <w:tcW w:w="509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D79FD3"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9.3 Beveiligingseisen voor gegevensbeheer</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531B062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36</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C79585"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9BFE2EF"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71DFF0"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78A8D05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8"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7F4E088C" w14:textId="77777777" w:rsidR="00A76C5C" w:rsidRPr="00A76C5C" w:rsidRDefault="00A76C5C" w:rsidP="00A76C5C">
            <w:pPr>
              <w:contextualSpacing w:val="0"/>
              <w:jc w:val="center"/>
              <w:rPr>
                <w:rFonts w:eastAsia="Times New Roman" w:cs="Calibri"/>
                <w:b/>
                <w:bCs/>
                <w:color w:val="FFFFFF"/>
                <w:sz w:val="16"/>
                <w:szCs w:val="16"/>
                <w:lang w:eastAsia="nl-NL"/>
              </w:rPr>
            </w:pPr>
          </w:p>
        </w:tc>
        <w:tc>
          <w:tcPr>
            <w:tcW w:w="1823" w:type="dxa"/>
            <w:gridSpan w:val="2"/>
            <w:tcBorders>
              <w:top w:val="single" w:sz="4" w:space="0" w:color="auto"/>
              <w:left w:val="single" w:sz="8" w:space="0" w:color="auto"/>
              <w:bottom w:val="single" w:sz="4" w:space="0" w:color="auto"/>
              <w:right w:val="single" w:sz="8" w:space="0" w:color="auto"/>
            </w:tcBorders>
            <w:shd w:val="clear" w:color="auto" w:fill="auto"/>
          </w:tcPr>
          <w:p w14:paraId="6FAAECCD"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color w:val="000000"/>
                <w:sz w:val="16"/>
                <w:szCs w:val="16"/>
                <w:lang w:eastAsia="nl-NL"/>
              </w:rPr>
              <w:t>Hoofd Studentenzaken</w:t>
            </w:r>
          </w:p>
        </w:tc>
      </w:tr>
      <w:tr w:rsidR="00A76C5C" w:rsidRPr="00A76C5C" w14:paraId="6276ECF6" w14:textId="77777777" w:rsidTr="00A76C5C">
        <w:trPr>
          <w:trHeight w:val="250"/>
        </w:trPr>
        <w:tc>
          <w:tcPr>
            <w:tcW w:w="2250" w:type="dxa"/>
            <w:vMerge/>
            <w:tcBorders>
              <w:left w:val="single" w:sz="8" w:space="0" w:color="auto"/>
              <w:bottom w:val="single" w:sz="8" w:space="0" w:color="FFFFFF"/>
              <w:right w:val="single" w:sz="8" w:space="0" w:color="auto"/>
            </w:tcBorders>
            <w:shd w:val="clear" w:color="auto" w:fill="00B050"/>
            <w:noWrap/>
            <w:vAlign w:val="center"/>
          </w:tcPr>
          <w:p w14:paraId="65584A2B" w14:textId="77777777" w:rsidR="00A76C5C" w:rsidRPr="00A76C5C" w:rsidRDefault="00A76C5C" w:rsidP="00A76C5C">
            <w:pPr>
              <w:contextualSpacing w:val="0"/>
              <w:rPr>
                <w:rFonts w:eastAsia="Times New Roman" w:cs="Calibri"/>
                <w:color w:val="000000"/>
                <w:sz w:val="16"/>
                <w:szCs w:val="16"/>
                <w:lang w:eastAsia="nl-NL"/>
              </w:rPr>
            </w:pPr>
          </w:p>
        </w:tc>
        <w:tc>
          <w:tcPr>
            <w:tcW w:w="509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222F0A"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9.4 Inrichting van opslag en retentie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457336D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37</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0B0C39"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E0E329"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7790DC" w14:textId="77777777" w:rsidR="00A76C5C" w:rsidRPr="00A76C5C" w:rsidRDefault="00A76C5C" w:rsidP="00A76C5C">
            <w:pPr>
              <w:contextualSpacing w:val="0"/>
              <w:jc w:val="center"/>
              <w:rPr>
                <w:rFonts w:eastAsia="Times New Roman" w:cs="Calibri"/>
                <w:b/>
                <w:bCs/>
                <w:sz w:val="16"/>
                <w:szCs w:val="16"/>
                <w:lang w:eastAsia="nl-NL"/>
              </w:rPr>
            </w:pPr>
          </w:p>
        </w:tc>
        <w:tc>
          <w:tcPr>
            <w:tcW w:w="567" w:type="dxa"/>
            <w:tcBorders>
              <w:top w:val="single" w:sz="4" w:space="0" w:color="auto"/>
              <w:left w:val="single" w:sz="4" w:space="0" w:color="auto"/>
              <w:bottom w:val="single" w:sz="4" w:space="0" w:color="auto"/>
              <w:right w:val="single" w:sz="8" w:space="0" w:color="auto"/>
            </w:tcBorders>
            <w:shd w:val="clear" w:color="000000" w:fill="FFFF00"/>
            <w:noWrap/>
            <w:vAlign w:val="center"/>
          </w:tcPr>
          <w:p w14:paraId="5DFD103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3</w:t>
            </w:r>
          </w:p>
        </w:tc>
        <w:tc>
          <w:tcPr>
            <w:tcW w:w="878"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06465C6" w14:textId="77777777" w:rsidR="00A76C5C" w:rsidRPr="00A76C5C" w:rsidRDefault="00A76C5C" w:rsidP="00A76C5C">
            <w:pPr>
              <w:contextualSpacing w:val="0"/>
              <w:jc w:val="center"/>
              <w:rPr>
                <w:rFonts w:eastAsia="Times New Roman" w:cs="Calibri"/>
                <w:b/>
                <w:bCs/>
                <w:color w:val="000000"/>
                <w:sz w:val="16"/>
                <w:szCs w:val="16"/>
                <w:lang w:eastAsia="nl-NL"/>
              </w:rPr>
            </w:pPr>
            <w:r w:rsidRPr="00A76C5C">
              <w:rPr>
                <w:rFonts w:eastAsia="Times New Roman" w:cs="Calibri"/>
                <w:b/>
                <w:bCs/>
                <w:color w:val="FFFFFF"/>
                <w:sz w:val="16"/>
                <w:szCs w:val="16"/>
                <w:lang w:eastAsia="nl-NL"/>
              </w:rPr>
              <w:t>50K</w:t>
            </w:r>
          </w:p>
        </w:tc>
        <w:tc>
          <w:tcPr>
            <w:tcW w:w="1823" w:type="dxa"/>
            <w:gridSpan w:val="2"/>
            <w:tcBorders>
              <w:top w:val="single" w:sz="4" w:space="0" w:color="auto"/>
              <w:left w:val="single" w:sz="8" w:space="0" w:color="auto"/>
              <w:bottom w:val="single" w:sz="4" w:space="0" w:color="auto"/>
              <w:right w:val="single" w:sz="8" w:space="0" w:color="auto"/>
            </w:tcBorders>
            <w:shd w:val="clear" w:color="auto" w:fill="auto"/>
          </w:tcPr>
          <w:p w14:paraId="36A13B91" w14:textId="77777777" w:rsidR="00A76C5C" w:rsidRPr="00A76C5C" w:rsidRDefault="00A76C5C" w:rsidP="00A76C5C">
            <w:pPr>
              <w:contextualSpacing w:val="0"/>
              <w:jc w:val="center"/>
              <w:rPr>
                <w:rFonts w:eastAsia="Times New Roman" w:cs="Calibri"/>
                <w:b/>
                <w:bCs/>
                <w:color w:val="FFFFFF"/>
                <w:sz w:val="16"/>
                <w:szCs w:val="16"/>
                <w:lang w:eastAsia="nl-NL"/>
              </w:rPr>
            </w:pPr>
            <w:r w:rsidRPr="00A76C5C">
              <w:rPr>
                <w:rFonts w:eastAsia="Times New Roman" w:cs="Calibri"/>
                <w:color w:val="000000"/>
                <w:sz w:val="16"/>
                <w:szCs w:val="16"/>
                <w:lang w:eastAsia="nl-NL"/>
              </w:rPr>
              <w:t>Hoofd Studentenzaken</w:t>
            </w:r>
          </w:p>
        </w:tc>
      </w:tr>
      <w:tr w:rsidR="00A76C5C" w:rsidRPr="00A76C5C" w14:paraId="2396E6F2" w14:textId="77777777" w:rsidTr="00A76C5C">
        <w:trPr>
          <w:trHeight w:val="250"/>
        </w:trPr>
        <w:tc>
          <w:tcPr>
            <w:tcW w:w="2250" w:type="dxa"/>
            <w:tcBorders>
              <w:top w:val="single" w:sz="8" w:space="0" w:color="FFFFFF"/>
              <w:left w:val="single" w:sz="8" w:space="0" w:color="auto"/>
              <w:bottom w:val="single" w:sz="8" w:space="0" w:color="auto"/>
              <w:right w:val="single" w:sz="8" w:space="0" w:color="auto"/>
            </w:tcBorders>
            <w:shd w:val="clear" w:color="auto" w:fill="00B050"/>
            <w:noWrap/>
            <w:vAlign w:val="center"/>
          </w:tcPr>
          <w:p w14:paraId="076D778E" w14:textId="77777777" w:rsidR="00A76C5C" w:rsidRPr="00A76C5C" w:rsidRDefault="00A76C5C" w:rsidP="00A76C5C">
            <w:pPr>
              <w:contextualSpacing w:val="0"/>
              <w:rPr>
                <w:rFonts w:eastAsia="Times New Roman" w:cs="Calibri"/>
                <w:b/>
                <w:bCs/>
                <w:color w:val="000000"/>
                <w:sz w:val="16"/>
                <w:szCs w:val="16"/>
                <w:lang w:eastAsia="nl-NL"/>
              </w:rPr>
            </w:pPr>
            <w:r w:rsidRPr="00A76C5C">
              <w:rPr>
                <w:rFonts w:eastAsia="Times New Roman" w:cs="Calibri"/>
                <w:b/>
                <w:bCs/>
                <w:color w:val="FFFFFF"/>
                <w:sz w:val="16"/>
                <w:szCs w:val="16"/>
                <w:lang w:eastAsia="nl-NL"/>
              </w:rPr>
              <w:t>P12 Security Baselines</w:t>
            </w:r>
          </w:p>
        </w:tc>
        <w:tc>
          <w:tcPr>
            <w:tcW w:w="509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90426E" w14:textId="77777777" w:rsidR="00A76C5C" w:rsidRPr="00A76C5C" w:rsidRDefault="00A76C5C" w:rsidP="00A76C5C">
            <w:pPr>
              <w:contextualSpacing w:val="0"/>
              <w:rPr>
                <w:rFonts w:eastAsia="Times New Roman" w:cs="Calibri"/>
                <w:color w:val="000000"/>
                <w:sz w:val="16"/>
                <w:szCs w:val="16"/>
                <w:lang w:eastAsia="nl-NL"/>
              </w:rPr>
            </w:pPr>
            <w:r w:rsidRPr="00A76C5C">
              <w:rPr>
                <w:rFonts w:eastAsia="Times New Roman" w:cs="Calibri"/>
                <w:color w:val="000000"/>
                <w:sz w:val="16"/>
                <w:szCs w:val="16"/>
                <w:lang w:eastAsia="nl-NL"/>
              </w:rPr>
              <w:t>11.1 Security baselines</w:t>
            </w:r>
          </w:p>
        </w:tc>
        <w:tc>
          <w:tcPr>
            <w:tcW w:w="312" w:type="dxa"/>
            <w:tcBorders>
              <w:top w:val="single" w:sz="8" w:space="0" w:color="auto"/>
              <w:left w:val="single" w:sz="4" w:space="0" w:color="auto"/>
              <w:bottom w:val="single" w:sz="8" w:space="0" w:color="auto"/>
              <w:right w:val="single" w:sz="4" w:space="0" w:color="auto"/>
            </w:tcBorders>
            <w:shd w:val="clear" w:color="auto" w:fill="auto"/>
            <w:vAlign w:val="center"/>
          </w:tcPr>
          <w:p w14:paraId="7251202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45</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2D4B0F66"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339A7B85"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4" w:space="0" w:color="auto"/>
            </w:tcBorders>
            <w:shd w:val="clear" w:color="auto" w:fill="D9D9D9"/>
            <w:noWrap/>
            <w:vAlign w:val="center"/>
          </w:tcPr>
          <w:p w14:paraId="48817163"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567" w:type="dxa"/>
            <w:tcBorders>
              <w:top w:val="single" w:sz="8" w:space="0" w:color="auto"/>
              <w:left w:val="single" w:sz="4" w:space="0" w:color="auto"/>
              <w:bottom w:val="single" w:sz="8" w:space="0" w:color="auto"/>
              <w:right w:val="single" w:sz="8" w:space="0" w:color="auto"/>
            </w:tcBorders>
            <w:shd w:val="clear" w:color="000000" w:fill="FFFF00"/>
            <w:noWrap/>
            <w:vAlign w:val="center"/>
          </w:tcPr>
          <w:p w14:paraId="28E7B52A" w14:textId="77777777" w:rsidR="00A76C5C" w:rsidRPr="00A76C5C" w:rsidRDefault="00A76C5C" w:rsidP="00A76C5C">
            <w:pPr>
              <w:contextualSpacing w:val="0"/>
              <w:jc w:val="center"/>
              <w:rPr>
                <w:rFonts w:eastAsia="Times New Roman" w:cs="Calibri"/>
                <w:b/>
                <w:bCs/>
                <w:sz w:val="16"/>
                <w:szCs w:val="16"/>
                <w:lang w:eastAsia="nl-NL"/>
              </w:rPr>
            </w:pPr>
            <w:r w:rsidRPr="00A76C5C">
              <w:rPr>
                <w:rFonts w:eastAsia="Times New Roman" w:cs="Calibri"/>
                <w:b/>
                <w:bCs/>
                <w:sz w:val="16"/>
                <w:szCs w:val="16"/>
                <w:lang w:eastAsia="nl-NL"/>
              </w:rPr>
              <w:t>4</w:t>
            </w:r>
          </w:p>
        </w:tc>
        <w:tc>
          <w:tcPr>
            <w:tcW w:w="878" w:type="dxa"/>
            <w:tcBorders>
              <w:top w:val="single" w:sz="4" w:space="0" w:color="FFFFFF"/>
              <w:left w:val="single" w:sz="8" w:space="0" w:color="auto"/>
              <w:bottom w:val="single" w:sz="4" w:space="0" w:color="FFFFFF"/>
              <w:right w:val="single" w:sz="8" w:space="0" w:color="auto"/>
            </w:tcBorders>
            <w:shd w:val="clear" w:color="auto" w:fill="00B050"/>
            <w:noWrap/>
            <w:vAlign w:val="center"/>
          </w:tcPr>
          <w:p w14:paraId="5C1DC9B3" w14:textId="77777777" w:rsidR="00A76C5C" w:rsidRPr="00A76C5C" w:rsidRDefault="00A76C5C" w:rsidP="00A76C5C">
            <w:pPr>
              <w:contextualSpacing w:val="0"/>
              <w:jc w:val="center"/>
              <w:rPr>
                <w:rFonts w:eastAsia="Times New Roman" w:cs="Calibri"/>
                <w:color w:val="000000"/>
                <w:sz w:val="16"/>
                <w:szCs w:val="16"/>
                <w:lang w:eastAsia="nl-NL"/>
              </w:rPr>
            </w:pPr>
          </w:p>
        </w:tc>
        <w:tc>
          <w:tcPr>
            <w:tcW w:w="182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DCFAFC4" w14:textId="086D12A6" w:rsidR="00A76C5C" w:rsidRPr="00A76C5C" w:rsidRDefault="00CA7074" w:rsidP="00A76C5C">
            <w:pPr>
              <w:contextualSpacing w:val="0"/>
              <w:jc w:val="center"/>
              <w:rPr>
                <w:rFonts w:eastAsia="Times New Roman" w:cs="Calibri"/>
                <w:color w:val="000000"/>
                <w:sz w:val="16"/>
                <w:szCs w:val="16"/>
                <w:lang w:eastAsia="nl-NL"/>
              </w:rPr>
            </w:pPr>
            <w:r>
              <w:rPr>
                <w:rFonts w:eastAsia="Times New Roman" w:cs="Calibri"/>
                <w:color w:val="000000"/>
                <w:sz w:val="16"/>
                <w:szCs w:val="16"/>
                <w:lang w:eastAsia="nl-NL"/>
              </w:rPr>
              <w:t>College van Bestuur</w:t>
            </w:r>
          </w:p>
        </w:tc>
      </w:tr>
      <w:tr w:rsidR="00A76C5C" w:rsidRPr="00A76C5C" w14:paraId="6F35A80B" w14:textId="77777777" w:rsidTr="00846082">
        <w:trPr>
          <w:gridAfter w:val="1"/>
          <w:wAfter w:w="11" w:type="dxa"/>
          <w:cantSplit/>
          <w:trHeight w:val="1466"/>
        </w:trPr>
        <w:tc>
          <w:tcPr>
            <w:tcW w:w="225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268563" w14:textId="77777777" w:rsidR="00A76C5C" w:rsidRPr="00A76C5C" w:rsidRDefault="00A76C5C" w:rsidP="00A76C5C">
            <w:pPr>
              <w:contextualSpacing w:val="0"/>
              <w:rPr>
                <w:rFonts w:eastAsia="Times New Roman" w:cs="Calibri"/>
                <w:color w:val="000000"/>
                <w:sz w:val="14"/>
                <w:szCs w:val="14"/>
                <w:lang w:eastAsia="nl-NL"/>
              </w:rPr>
            </w:pPr>
          </w:p>
        </w:tc>
        <w:tc>
          <w:tcPr>
            <w:tcW w:w="509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3D81F00" w14:textId="77777777" w:rsidR="00A76C5C" w:rsidRPr="00A76C5C" w:rsidRDefault="00A76C5C" w:rsidP="00A76C5C">
            <w:pPr>
              <w:contextualSpacing w:val="0"/>
              <w:rPr>
                <w:rFonts w:eastAsia="Times New Roman" w:cs="Calibri"/>
                <w:color w:val="000000"/>
                <w:sz w:val="32"/>
                <w:szCs w:val="32"/>
                <w:lang w:eastAsia="nl-NL"/>
              </w:rPr>
            </w:pPr>
            <w:r w:rsidRPr="00A76C5C">
              <w:rPr>
                <w:rFonts w:eastAsia="Times New Roman" w:cs="Calibri"/>
                <w:b/>
                <w:bCs/>
                <w:color w:val="000000"/>
                <w:sz w:val="32"/>
                <w:szCs w:val="32"/>
                <w:lang w:eastAsia="nl-NL"/>
              </w:rPr>
              <w:t>Gegeven risicoscore (Netto score)</w:t>
            </w:r>
          </w:p>
        </w:tc>
        <w:tc>
          <w:tcPr>
            <w:tcW w:w="312" w:type="dxa"/>
            <w:tcBorders>
              <w:top w:val="single" w:sz="8" w:space="0" w:color="auto"/>
              <w:left w:val="single" w:sz="4" w:space="0" w:color="auto"/>
              <w:bottom w:val="single" w:sz="8" w:space="0" w:color="auto"/>
              <w:right w:val="nil"/>
            </w:tcBorders>
            <w:vAlign w:val="center"/>
          </w:tcPr>
          <w:p w14:paraId="052A1C8B" w14:textId="77777777" w:rsidR="00A76C5C" w:rsidRPr="00A76C5C" w:rsidRDefault="00A76C5C" w:rsidP="00A76C5C">
            <w:pPr>
              <w:contextualSpacing w:val="0"/>
              <w:rPr>
                <w:rFonts w:eastAsia="Times New Roman" w:cs="Calibri"/>
                <w:b/>
                <w:bCs/>
                <w:sz w:val="14"/>
                <w:szCs w:val="14"/>
                <w:lang w:eastAsia="nl-NL"/>
              </w:rPr>
            </w:pP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3B95B64C"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R2</w:t>
            </w:r>
          </w:p>
          <w:p w14:paraId="797F451E"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Ransomware</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228B82FE"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R3</w:t>
            </w:r>
          </w:p>
          <w:p w14:paraId="5D2CFDBF"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Cloud</w:t>
            </w:r>
          </w:p>
        </w:tc>
        <w:tc>
          <w:tcPr>
            <w:tcW w:w="567" w:type="dxa"/>
            <w:tcBorders>
              <w:top w:val="single" w:sz="8" w:space="0" w:color="auto"/>
              <w:left w:val="single" w:sz="4" w:space="0" w:color="auto"/>
              <w:bottom w:val="single" w:sz="8" w:space="0" w:color="auto"/>
              <w:right w:val="single" w:sz="4" w:space="0" w:color="auto"/>
            </w:tcBorders>
            <w:shd w:val="clear" w:color="auto" w:fill="D9D9D9"/>
            <w:noWrap/>
            <w:textDirection w:val="tbRl"/>
            <w:vAlign w:val="center"/>
          </w:tcPr>
          <w:p w14:paraId="220F806D"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R4</w:t>
            </w:r>
          </w:p>
          <w:p w14:paraId="47BE88A0"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Identiteitsfraude</w:t>
            </w:r>
          </w:p>
        </w:tc>
        <w:tc>
          <w:tcPr>
            <w:tcW w:w="567" w:type="dxa"/>
            <w:tcBorders>
              <w:top w:val="single" w:sz="8" w:space="0" w:color="auto"/>
              <w:left w:val="single" w:sz="4" w:space="0" w:color="auto"/>
              <w:bottom w:val="single" w:sz="8" w:space="0" w:color="auto"/>
              <w:right w:val="single" w:sz="4" w:space="0" w:color="auto"/>
            </w:tcBorders>
            <w:shd w:val="clear" w:color="auto" w:fill="00B0F0"/>
            <w:noWrap/>
            <w:textDirection w:val="tbRl"/>
            <w:vAlign w:val="center"/>
          </w:tcPr>
          <w:p w14:paraId="738C3059" w14:textId="77777777" w:rsidR="00A76C5C" w:rsidRPr="00A76C5C" w:rsidRDefault="00A76C5C" w:rsidP="00A76C5C">
            <w:pPr>
              <w:ind w:left="113" w:right="113"/>
              <w:contextualSpacing w:val="0"/>
              <w:jc w:val="center"/>
              <w:rPr>
                <w:rFonts w:eastAsia="Times New Roman" w:cs="Calibri"/>
                <w:b/>
                <w:bCs/>
                <w:color w:val="FFFFFF"/>
                <w:sz w:val="24"/>
                <w:szCs w:val="24"/>
                <w:lang w:eastAsia="nl-NL"/>
              </w:rPr>
            </w:pPr>
            <w:r w:rsidRPr="00A76C5C">
              <w:rPr>
                <w:rFonts w:eastAsia="Times New Roman" w:cs="Calibri"/>
                <w:b/>
                <w:bCs/>
                <w:color w:val="FFFFFF"/>
                <w:sz w:val="24"/>
                <w:szCs w:val="24"/>
                <w:lang w:eastAsia="nl-NL"/>
              </w:rPr>
              <w:t>R5</w:t>
            </w:r>
          </w:p>
          <w:p w14:paraId="6427B872" w14:textId="77777777" w:rsidR="00A76C5C" w:rsidRPr="00A76C5C" w:rsidRDefault="00A76C5C" w:rsidP="00A76C5C">
            <w:pPr>
              <w:ind w:left="113" w:right="113"/>
              <w:contextualSpacing w:val="0"/>
              <w:jc w:val="center"/>
              <w:rPr>
                <w:rFonts w:eastAsia="Times New Roman" w:cs="Calibri"/>
                <w:b/>
                <w:bCs/>
                <w:color w:val="FFFFFF"/>
                <w:sz w:val="14"/>
                <w:szCs w:val="14"/>
                <w:lang w:eastAsia="nl-NL"/>
              </w:rPr>
            </w:pPr>
            <w:r w:rsidRPr="00A76C5C">
              <w:rPr>
                <w:rFonts w:eastAsia="Times New Roman" w:cs="Calibri"/>
                <w:b/>
                <w:bCs/>
                <w:color w:val="FFFFFF"/>
                <w:sz w:val="14"/>
                <w:szCs w:val="14"/>
                <w:lang w:eastAsia="nl-NL"/>
              </w:rPr>
              <w:t>Bewaartermijnen</w:t>
            </w:r>
          </w:p>
        </w:tc>
        <w:tc>
          <w:tcPr>
            <w:tcW w:w="878" w:type="dxa"/>
            <w:tcBorders>
              <w:top w:val="single" w:sz="8" w:space="0" w:color="auto"/>
              <w:left w:val="nil"/>
              <w:bottom w:val="single" w:sz="8" w:space="0" w:color="auto"/>
              <w:right w:val="single" w:sz="8" w:space="0" w:color="auto"/>
            </w:tcBorders>
            <w:shd w:val="clear" w:color="auto" w:fill="auto"/>
            <w:noWrap/>
            <w:vAlign w:val="center"/>
          </w:tcPr>
          <w:p w14:paraId="62DBDFD4" w14:textId="77777777" w:rsidR="00A76C5C" w:rsidRPr="00A76C5C" w:rsidRDefault="00A76C5C" w:rsidP="00A76C5C">
            <w:pPr>
              <w:contextualSpacing w:val="0"/>
              <w:jc w:val="center"/>
              <w:rPr>
                <w:rFonts w:eastAsia="Times New Roman" w:cs="Calibri"/>
                <w:color w:val="000000"/>
                <w:sz w:val="14"/>
                <w:szCs w:val="14"/>
                <w:lang w:eastAsia="nl-NL"/>
              </w:rPr>
            </w:pPr>
          </w:p>
        </w:tc>
        <w:tc>
          <w:tcPr>
            <w:tcW w:w="1812" w:type="dxa"/>
            <w:tcBorders>
              <w:top w:val="single" w:sz="8" w:space="0" w:color="auto"/>
              <w:left w:val="nil"/>
              <w:bottom w:val="single" w:sz="8" w:space="0" w:color="FFFFFF"/>
              <w:right w:val="single" w:sz="8" w:space="0" w:color="FFFFFF"/>
            </w:tcBorders>
          </w:tcPr>
          <w:p w14:paraId="2826AFDE" w14:textId="77777777" w:rsidR="00A76C5C" w:rsidRPr="00A76C5C" w:rsidRDefault="00A76C5C" w:rsidP="00A76C5C">
            <w:pPr>
              <w:contextualSpacing w:val="0"/>
              <w:jc w:val="center"/>
              <w:rPr>
                <w:rFonts w:eastAsia="Times New Roman" w:cs="Calibri"/>
                <w:color w:val="000000"/>
                <w:sz w:val="14"/>
                <w:szCs w:val="14"/>
                <w:lang w:eastAsia="nl-NL"/>
              </w:rPr>
            </w:pPr>
          </w:p>
        </w:tc>
      </w:tr>
    </w:tbl>
    <w:p w14:paraId="787CAA60" w14:textId="77777777" w:rsidR="00A76C5C" w:rsidRPr="00A76C5C" w:rsidRDefault="00A76C5C" w:rsidP="007D3670">
      <w:pPr>
        <w:keepNext/>
        <w:keepLines/>
        <w:spacing w:before="40" w:line="259" w:lineRule="auto"/>
        <w:contextualSpacing w:val="0"/>
        <w:outlineLvl w:val="1"/>
        <w:rPr>
          <w:rFonts w:ascii="Calibri Light" w:eastAsia="Times New Roman" w:hAnsi="Calibri Light"/>
          <w:b/>
          <w:color w:val="2F5496"/>
          <w:sz w:val="26"/>
          <w:szCs w:val="26"/>
        </w:rPr>
      </w:pPr>
    </w:p>
    <w:p w14:paraId="14B77CC2" w14:textId="77777777" w:rsidR="007D3670" w:rsidRDefault="00A76C5C" w:rsidP="00A76C5C">
      <w:pPr>
        <w:spacing w:line="259" w:lineRule="auto"/>
        <w:contextualSpacing w:val="0"/>
        <w:rPr>
          <w:szCs w:val="22"/>
        </w:rPr>
      </w:pPr>
      <w:r w:rsidRPr="00A76C5C">
        <w:rPr>
          <w:b/>
          <w:bCs/>
          <w:i/>
          <w:iCs/>
          <w:color w:val="0070C0"/>
          <w:szCs w:val="22"/>
        </w:rPr>
        <w:t>Leidend</w:t>
      </w:r>
      <w:r w:rsidRPr="00A76C5C">
        <w:rPr>
          <w:i/>
          <w:iCs/>
          <w:color w:val="0070C0"/>
          <w:szCs w:val="22"/>
        </w:rPr>
        <w:t xml:space="preserve">: </w:t>
      </w:r>
      <w:r w:rsidRPr="00A76C5C">
        <w:rPr>
          <w:i/>
          <w:iCs/>
          <w:szCs w:val="22"/>
        </w:rPr>
        <w:t>Service document of Document Structuur Plan.</w:t>
      </w:r>
      <w:r w:rsidRPr="00A76C5C">
        <w:rPr>
          <w:szCs w:val="22"/>
        </w:rPr>
        <w:t xml:space="preserve"> </w:t>
      </w:r>
    </w:p>
    <w:p w14:paraId="69E51E92" w14:textId="77777777" w:rsidR="007D3670" w:rsidRDefault="007D3670" w:rsidP="00A76C5C">
      <w:pPr>
        <w:spacing w:line="259" w:lineRule="auto"/>
        <w:contextualSpacing w:val="0"/>
        <w:rPr>
          <w:szCs w:val="22"/>
        </w:rPr>
      </w:pPr>
    </w:p>
    <w:p w14:paraId="5043FD70" w14:textId="37524C8E" w:rsidR="000B56D1" w:rsidRDefault="000B56D1">
      <w:pPr>
        <w:contextualSpacing w:val="0"/>
        <w:rPr>
          <w:szCs w:val="22"/>
        </w:rPr>
      </w:pPr>
      <w:r>
        <w:rPr>
          <w:szCs w:val="22"/>
        </w:rPr>
        <w:br w:type="page"/>
      </w:r>
    </w:p>
    <w:p w14:paraId="6A3771E4" w14:textId="1F3CE995" w:rsidR="000B56D1" w:rsidRPr="00A76C5C" w:rsidRDefault="000B56D1" w:rsidP="00851E38">
      <w:pPr>
        <w:pStyle w:val="Kop2"/>
        <w:numPr>
          <w:ilvl w:val="0"/>
          <w:numId w:val="0"/>
        </w:numPr>
        <w:ind w:left="567"/>
        <w:rPr>
          <w:noProof/>
        </w:rPr>
      </w:pPr>
      <w:bookmarkStart w:id="49" w:name="_Toc144896485"/>
      <w:r>
        <w:rPr>
          <w:noProof/>
        </w:rPr>
        <w:lastRenderedPageBreak/>
        <w:t>Bijlage 1:</w:t>
      </w:r>
      <w:r>
        <w:rPr>
          <w:noProof/>
        </w:rPr>
        <w:tab/>
      </w:r>
      <w:r w:rsidRPr="00A76C5C">
        <w:rPr>
          <w:noProof/>
        </w:rPr>
        <w:t xml:space="preserve">Gehanteerde classificatiemethodiek </w:t>
      </w:r>
      <w:r w:rsidRPr="00A76C5C">
        <w:rPr>
          <w:noProof/>
          <w:vertAlign w:val="superscript"/>
        </w:rPr>
        <w:footnoteReference w:id="3"/>
      </w:r>
      <w:bookmarkEnd w:id="49"/>
    </w:p>
    <w:p w14:paraId="6C193508" w14:textId="77777777" w:rsidR="000B56D1" w:rsidRPr="00A76C5C" w:rsidRDefault="000B56D1" w:rsidP="000B56D1">
      <w:pPr>
        <w:contextualSpacing w:val="0"/>
        <w:rPr>
          <w:rFonts w:cs="Calibri"/>
        </w:rPr>
      </w:pPr>
      <w:r w:rsidRPr="00A76C5C">
        <w:rPr>
          <w:rFonts w:cs="Calibri"/>
          <w:bCs/>
          <w:noProof/>
        </w:rPr>
        <w:t>Classificatie van informatierisico's gebeurt op basis van een set van algemeen geldende  karakteristieken vanuit het framework voor organisatiebreed Risk Management en getroffen maatregelen voor informatierisico's zijn gestandaardiseerd en geprioriteerd, waarbij rekening gehouden wordt met kans, impact en restrisico's.</w:t>
      </w:r>
    </w:p>
    <w:p w14:paraId="1E1461C1" w14:textId="77777777" w:rsidR="000B56D1" w:rsidRPr="00A76C5C" w:rsidRDefault="000B56D1" w:rsidP="000B56D1">
      <w:pPr>
        <w:rPr>
          <w:b/>
          <w:bCs/>
          <w:color w:val="1728A9"/>
        </w:rPr>
      </w:pPr>
      <w:r w:rsidRPr="00A76C5C">
        <w:rPr>
          <w:b/>
          <w:bCs/>
          <w:color w:val="1728A9"/>
        </w:rPr>
        <w:t>Risico = Kans x Impact</w:t>
      </w:r>
    </w:p>
    <w:tbl>
      <w:tblPr>
        <w:tblStyle w:val="Tabelraster20"/>
        <w:tblW w:w="6658" w:type="dxa"/>
        <w:tblLook w:val="04A0" w:firstRow="1" w:lastRow="0" w:firstColumn="1" w:lastColumn="0" w:noHBand="0" w:noVBand="1"/>
      </w:tblPr>
      <w:tblGrid>
        <w:gridCol w:w="1664"/>
        <w:gridCol w:w="1665"/>
        <w:gridCol w:w="1664"/>
        <w:gridCol w:w="1665"/>
      </w:tblGrid>
      <w:tr w:rsidR="000B56D1" w:rsidRPr="00A76C5C" w14:paraId="21D2D76A" w14:textId="77777777" w:rsidTr="00D24411">
        <w:tc>
          <w:tcPr>
            <w:tcW w:w="1664" w:type="dxa"/>
          </w:tcPr>
          <w:p w14:paraId="0EF6E7AF" w14:textId="77777777" w:rsidR="000B56D1" w:rsidRPr="00A76C5C" w:rsidRDefault="000B56D1" w:rsidP="00D24411">
            <w:pPr>
              <w:jc w:val="center"/>
            </w:pPr>
          </w:p>
        </w:tc>
        <w:tc>
          <w:tcPr>
            <w:tcW w:w="1665" w:type="dxa"/>
            <w:shd w:val="clear" w:color="auto" w:fill="DBE5F1"/>
          </w:tcPr>
          <w:p w14:paraId="3122CB63" w14:textId="77777777" w:rsidR="000B56D1" w:rsidRPr="00A76C5C" w:rsidRDefault="000B56D1" w:rsidP="00D24411">
            <w:pPr>
              <w:jc w:val="center"/>
              <w:rPr>
                <w:b/>
                <w:bCs/>
                <w:color w:val="1728A9"/>
              </w:rPr>
            </w:pPr>
            <w:r w:rsidRPr="00A76C5C">
              <w:rPr>
                <w:b/>
                <w:bCs/>
                <w:color w:val="1728A9"/>
              </w:rPr>
              <w:t>Kans Laag</w:t>
            </w:r>
          </w:p>
          <w:p w14:paraId="1EE17241" w14:textId="77777777" w:rsidR="000B56D1" w:rsidRPr="00A76C5C" w:rsidRDefault="000B56D1" w:rsidP="00D24411">
            <w:pPr>
              <w:jc w:val="center"/>
              <w:rPr>
                <w:b/>
                <w:bCs/>
                <w:color w:val="1728A9"/>
              </w:rPr>
            </w:pPr>
            <w:r w:rsidRPr="00A76C5C">
              <w:rPr>
                <w:b/>
                <w:bCs/>
                <w:color w:val="1728A9"/>
              </w:rPr>
              <w:t>(1)</w:t>
            </w:r>
          </w:p>
        </w:tc>
        <w:tc>
          <w:tcPr>
            <w:tcW w:w="1664" w:type="dxa"/>
            <w:shd w:val="clear" w:color="auto" w:fill="DBE5F1"/>
          </w:tcPr>
          <w:p w14:paraId="49E8E08F" w14:textId="77777777" w:rsidR="000B56D1" w:rsidRPr="00A76C5C" w:rsidRDefault="000B56D1" w:rsidP="00D24411">
            <w:pPr>
              <w:jc w:val="center"/>
              <w:rPr>
                <w:b/>
                <w:bCs/>
                <w:color w:val="1728A9"/>
              </w:rPr>
            </w:pPr>
            <w:r w:rsidRPr="00A76C5C">
              <w:rPr>
                <w:b/>
                <w:bCs/>
                <w:color w:val="1728A9"/>
              </w:rPr>
              <w:t>Kans Middel</w:t>
            </w:r>
          </w:p>
          <w:p w14:paraId="05FBA997" w14:textId="77777777" w:rsidR="000B56D1" w:rsidRPr="00A76C5C" w:rsidRDefault="000B56D1" w:rsidP="00D24411">
            <w:pPr>
              <w:jc w:val="center"/>
              <w:rPr>
                <w:b/>
                <w:bCs/>
                <w:color w:val="1728A9"/>
              </w:rPr>
            </w:pPr>
            <w:r w:rsidRPr="00A76C5C">
              <w:rPr>
                <w:b/>
                <w:bCs/>
                <w:color w:val="1728A9"/>
              </w:rPr>
              <w:t>(2)</w:t>
            </w:r>
          </w:p>
        </w:tc>
        <w:tc>
          <w:tcPr>
            <w:tcW w:w="1665" w:type="dxa"/>
            <w:shd w:val="clear" w:color="auto" w:fill="DBE5F1"/>
          </w:tcPr>
          <w:p w14:paraId="22A5BEF4" w14:textId="77777777" w:rsidR="000B56D1" w:rsidRPr="00A76C5C" w:rsidRDefault="000B56D1" w:rsidP="00D24411">
            <w:pPr>
              <w:jc w:val="center"/>
              <w:rPr>
                <w:b/>
                <w:bCs/>
                <w:color w:val="1728A9"/>
              </w:rPr>
            </w:pPr>
            <w:r w:rsidRPr="00A76C5C">
              <w:rPr>
                <w:b/>
                <w:bCs/>
                <w:color w:val="1728A9"/>
              </w:rPr>
              <w:t>Kans Hoog</w:t>
            </w:r>
          </w:p>
          <w:p w14:paraId="4B9B59DA" w14:textId="77777777" w:rsidR="000B56D1" w:rsidRPr="00A76C5C" w:rsidRDefault="000B56D1" w:rsidP="00D24411">
            <w:pPr>
              <w:jc w:val="center"/>
              <w:rPr>
                <w:b/>
                <w:bCs/>
                <w:color w:val="1728A9"/>
              </w:rPr>
            </w:pPr>
            <w:r w:rsidRPr="00A76C5C">
              <w:rPr>
                <w:b/>
                <w:bCs/>
                <w:color w:val="1728A9"/>
              </w:rPr>
              <w:t>(3)</w:t>
            </w:r>
          </w:p>
        </w:tc>
      </w:tr>
      <w:tr w:rsidR="000B56D1" w:rsidRPr="00A76C5C" w14:paraId="629E2E6E" w14:textId="77777777" w:rsidTr="00D24411">
        <w:trPr>
          <w:trHeight w:val="399"/>
        </w:trPr>
        <w:tc>
          <w:tcPr>
            <w:tcW w:w="1664" w:type="dxa"/>
            <w:shd w:val="clear" w:color="auto" w:fill="DBE5F1"/>
            <w:vAlign w:val="center"/>
          </w:tcPr>
          <w:p w14:paraId="309EC178" w14:textId="77777777" w:rsidR="000B56D1" w:rsidRPr="00A76C5C" w:rsidRDefault="000B56D1" w:rsidP="00D24411">
            <w:pPr>
              <w:jc w:val="center"/>
              <w:rPr>
                <w:b/>
                <w:bCs/>
                <w:color w:val="1728A9"/>
              </w:rPr>
            </w:pPr>
            <w:r w:rsidRPr="00A76C5C">
              <w:rPr>
                <w:b/>
                <w:bCs/>
                <w:color w:val="1728A9"/>
              </w:rPr>
              <w:t>Impact laag</w:t>
            </w:r>
          </w:p>
          <w:p w14:paraId="5570E8C4" w14:textId="77777777" w:rsidR="000B56D1" w:rsidRPr="00A76C5C" w:rsidRDefault="000B56D1" w:rsidP="00D24411">
            <w:pPr>
              <w:jc w:val="center"/>
              <w:rPr>
                <w:b/>
                <w:bCs/>
                <w:color w:val="1728A9"/>
              </w:rPr>
            </w:pPr>
            <w:r w:rsidRPr="00A76C5C">
              <w:rPr>
                <w:b/>
                <w:bCs/>
                <w:color w:val="1728A9"/>
              </w:rPr>
              <w:t>(1)</w:t>
            </w:r>
          </w:p>
        </w:tc>
        <w:tc>
          <w:tcPr>
            <w:tcW w:w="1665" w:type="dxa"/>
            <w:shd w:val="clear" w:color="auto" w:fill="00B0F0"/>
            <w:vAlign w:val="center"/>
          </w:tcPr>
          <w:p w14:paraId="679E8EAD" w14:textId="77777777" w:rsidR="000B56D1" w:rsidRPr="00A76C5C" w:rsidRDefault="000B56D1" w:rsidP="00D24411">
            <w:pPr>
              <w:jc w:val="center"/>
              <w:rPr>
                <w:b/>
                <w:bCs/>
                <w:color w:val="FFFFFF"/>
              </w:rPr>
            </w:pPr>
            <w:r w:rsidRPr="00A76C5C">
              <w:rPr>
                <w:b/>
                <w:bCs/>
                <w:color w:val="FFFFFF"/>
              </w:rPr>
              <w:t>Risico Laag</w:t>
            </w:r>
          </w:p>
          <w:p w14:paraId="48D47D21" w14:textId="77777777" w:rsidR="000B56D1" w:rsidRPr="00A76C5C" w:rsidRDefault="000B56D1" w:rsidP="00D24411">
            <w:pPr>
              <w:jc w:val="center"/>
              <w:rPr>
                <w:b/>
                <w:bCs/>
                <w:color w:val="FFFFFF"/>
              </w:rPr>
            </w:pPr>
            <w:r w:rsidRPr="00A76C5C">
              <w:rPr>
                <w:b/>
                <w:bCs/>
                <w:color w:val="FFFFFF"/>
              </w:rPr>
              <w:t>(1)</w:t>
            </w:r>
          </w:p>
        </w:tc>
        <w:tc>
          <w:tcPr>
            <w:tcW w:w="1664" w:type="dxa"/>
            <w:shd w:val="clear" w:color="auto" w:fill="00B0F0"/>
            <w:vAlign w:val="center"/>
          </w:tcPr>
          <w:p w14:paraId="1AD1459D" w14:textId="77777777" w:rsidR="000B56D1" w:rsidRPr="00A76C5C" w:rsidRDefault="000B56D1" w:rsidP="00D24411">
            <w:pPr>
              <w:jc w:val="center"/>
              <w:rPr>
                <w:b/>
                <w:bCs/>
                <w:color w:val="FFFFFF"/>
              </w:rPr>
            </w:pPr>
            <w:r w:rsidRPr="00A76C5C">
              <w:rPr>
                <w:b/>
                <w:bCs/>
                <w:color w:val="FFFFFF"/>
              </w:rPr>
              <w:t>Risico Laag</w:t>
            </w:r>
          </w:p>
          <w:p w14:paraId="69685DB7" w14:textId="77777777" w:rsidR="000B56D1" w:rsidRPr="00A76C5C" w:rsidRDefault="000B56D1" w:rsidP="00D24411">
            <w:pPr>
              <w:jc w:val="center"/>
              <w:rPr>
                <w:b/>
                <w:bCs/>
                <w:color w:val="FFFFFF"/>
              </w:rPr>
            </w:pPr>
            <w:r w:rsidRPr="00A76C5C">
              <w:rPr>
                <w:b/>
                <w:bCs/>
                <w:color w:val="FFFFFF"/>
              </w:rPr>
              <w:t>(2)</w:t>
            </w:r>
          </w:p>
        </w:tc>
        <w:tc>
          <w:tcPr>
            <w:tcW w:w="1665" w:type="dxa"/>
            <w:shd w:val="clear" w:color="auto" w:fill="FFFF00"/>
            <w:vAlign w:val="center"/>
          </w:tcPr>
          <w:p w14:paraId="63E032D5" w14:textId="77777777" w:rsidR="000B56D1" w:rsidRPr="00A76C5C" w:rsidRDefault="000B56D1" w:rsidP="00D24411">
            <w:pPr>
              <w:jc w:val="center"/>
              <w:rPr>
                <w:b/>
                <w:bCs/>
              </w:rPr>
            </w:pPr>
            <w:r w:rsidRPr="00A76C5C">
              <w:rPr>
                <w:b/>
                <w:bCs/>
              </w:rPr>
              <w:t>Risico Medium</w:t>
            </w:r>
          </w:p>
          <w:p w14:paraId="2B0B1129" w14:textId="77777777" w:rsidR="000B56D1" w:rsidRPr="00A76C5C" w:rsidRDefault="000B56D1" w:rsidP="00D24411">
            <w:pPr>
              <w:jc w:val="center"/>
              <w:rPr>
                <w:b/>
                <w:bCs/>
                <w:color w:val="FFFFFF"/>
              </w:rPr>
            </w:pPr>
            <w:r w:rsidRPr="00A76C5C">
              <w:rPr>
                <w:b/>
                <w:bCs/>
              </w:rPr>
              <w:t>(3)</w:t>
            </w:r>
          </w:p>
        </w:tc>
      </w:tr>
      <w:tr w:rsidR="000B56D1" w:rsidRPr="00A76C5C" w14:paraId="42947A7A" w14:textId="77777777" w:rsidTr="00D24411">
        <w:trPr>
          <w:trHeight w:val="399"/>
        </w:trPr>
        <w:tc>
          <w:tcPr>
            <w:tcW w:w="1664" w:type="dxa"/>
            <w:shd w:val="clear" w:color="auto" w:fill="DBE5F1"/>
            <w:vAlign w:val="center"/>
          </w:tcPr>
          <w:p w14:paraId="69681850" w14:textId="77777777" w:rsidR="000B56D1" w:rsidRPr="00A76C5C" w:rsidRDefault="000B56D1" w:rsidP="00D24411">
            <w:pPr>
              <w:jc w:val="center"/>
              <w:rPr>
                <w:b/>
                <w:bCs/>
                <w:color w:val="1728A9"/>
              </w:rPr>
            </w:pPr>
            <w:r w:rsidRPr="00A76C5C">
              <w:rPr>
                <w:b/>
                <w:bCs/>
                <w:color w:val="1728A9"/>
              </w:rPr>
              <w:t>Impact Middel</w:t>
            </w:r>
          </w:p>
          <w:p w14:paraId="5979938C" w14:textId="77777777" w:rsidR="000B56D1" w:rsidRPr="00A76C5C" w:rsidRDefault="000B56D1" w:rsidP="00D24411">
            <w:pPr>
              <w:jc w:val="center"/>
              <w:rPr>
                <w:b/>
                <w:bCs/>
                <w:color w:val="1728A9"/>
              </w:rPr>
            </w:pPr>
            <w:r w:rsidRPr="00A76C5C">
              <w:rPr>
                <w:b/>
                <w:bCs/>
                <w:color w:val="1728A9"/>
              </w:rPr>
              <w:t>(2)</w:t>
            </w:r>
          </w:p>
        </w:tc>
        <w:tc>
          <w:tcPr>
            <w:tcW w:w="1665" w:type="dxa"/>
            <w:shd w:val="clear" w:color="auto" w:fill="00B0F0"/>
            <w:vAlign w:val="center"/>
          </w:tcPr>
          <w:p w14:paraId="281E3D93" w14:textId="77777777" w:rsidR="000B56D1" w:rsidRPr="00A76C5C" w:rsidRDefault="000B56D1" w:rsidP="00D24411">
            <w:pPr>
              <w:jc w:val="center"/>
              <w:rPr>
                <w:b/>
                <w:bCs/>
                <w:color w:val="FFFFFF"/>
              </w:rPr>
            </w:pPr>
            <w:r w:rsidRPr="00A76C5C">
              <w:rPr>
                <w:b/>
                <w:bCs/>
                <w:color w:val="FFFFFF"/>
              </w:rPr>
              <w:t>Risico Laag</w:t>
            </w:r>
          </w:p>
          <w:p w14:paraId="2B2CF078" w14:textId="77777777" w:rsidR="000B56D1" w:rsidRPr="00A76C5C" w:rsidRDefault="000B56D1" w:rsidP="00D24411">
            <w:pPr>
              <w:jc w:val="center"/>
              <w:rPr>
                <w:b/>
                <w:bCs/>
                <w:color w:val="FFFFFF"/>
              </w:rPr>
            </w:pPr>
            <w:r w:rsidRPr="00A76C5C">
              <w:rPr>
                <w:b/>
                <w:bCs/>
                <w:color w:val="FFFFFF"/>
              </w:rPr>
              <w:t>(2)</w:t>
            </w:r>
          </w:p>
        </w:tc>
        <w:tc>
          <w:tcPr>
            <w:tcW w:w="1664" w:type="dxa"/>
            <w:shd w:val="clear" w:color="auto" w:fill="FFFF00"/>
            <w:vAlign w:val="center"/>
          </w:tcPr>
          <w:p w14:paraId="7611EAAE" w14:textId="77777777" w:rsidR="000B56D1" w:rsidRPr="00A76C5C" w:rsidRDefault="000B56D1" w:rsidP="00D24411">
            <w:pPr>
              <w:jc w:val="center"/>
              <w:rPr>
                <w:b/>
                <w:bCs/>
              </w:rPr>
            </w:pPr>
            <w:r w:rsidRPr="00A76C5C">
              <w:rPr>
                <w:b/>
                <w:bCs/>
              </w:rPr>
              <w:t>Risico Medium</w:t>
            </w:r>
          </w:p>
          <w:p w14:paraId="2865132B" w14:textId="77777777" w:rsidR="000B56D1" w:rsidRPr="00A76C5C" w:rsidRDefault="000B56D1" w:rsidP="00D24411">
            <w:pPr>
              <w:jc w:val="center"/>
              <w:rPr>
                <w:b/>
                <w:bCs/>
                <w:color w:val="FFFFFF"/>
              </w:rPr>
            </w:pPr>
            <w:r w:rsidRPr="00A76C5C">
              <w:rPr>
                <w:b/>
                <w:bCs/>
              </w:rPr>
              <w:t>(4)</w:t>
            </w:r>
          </w:p>
        </w:tc>
        <w:tc>
          <w:tcPr>
            <w:tcW w:w="1665" w:type="dxa"/>
            <w:shd w:val="clear" w:color="auto" w:fill="FF9900"/>
            <w:vAlign w:val="center"/>
          </w:tcPr>
          <w:p w14:paraId="489D1922" w14:textId="77777777" w:rsidR="000B56D1" w:rsidRPr="00A76C5C" w:rsidRDefault="000B56D1" w:rsidP="00D24411">
            <w:pPr>
              <w:jc w:val="center"/>
              <w:rPr>
                <w:b/>
                <w:bCs/>
                <w:color w:val="FFFFFF"/>
              </w:rPr>
            </w:pPr>
            <w:r w:rsidRPr="00A76C5C">
              <w:rPr>
                <w:b/>
                <w:bCs/>
                <w:color w:val="FFFFFF"/>
              </w:rPr>
              <w:t>Risico Hoog</w:t>
            </w:r>
          </w:p>
          <w:p w14:paraId="4DDA1640" w14:textId="77777777" w:rsidR="000B56D1" w:rsidRPr="00A76C5C" w:rsidRDefault="000B56D1" w:rsidP="00D24411">
            <w:pPr>
              <w:jc w:val="center"/>
              <w:rPr>
                <w:b/>
                <w:bCs/>
                <w:color w:val="FFFFFF"/>
              </w:rPr>
            </w:pPr>
            <w:r w:rsidRPr="00A76C5C">
              <w:rPr>
                <w:b/>
                <w:bCs/>
                <w:color w:val="FFFFFF"/>
              </w:rPr>
              <w:t>(6)</w:t>
            </w:r>
          </w:p>
        </w:tc>
      </w:tr>
      <w:tr w:rsidR="000B56D1" w:rsidRPr="00A76C5C" w14:paraId="0B179E36" w14:textId="77777777" w:rsidTr="00D24411">
        <w:trPr>
          <w:trHeight w:val="399"/>
        </w:trPr>
        <w:tc>
          <w:tcPr>
            <w:tcW w:w="1664" w:type="dxa"/>
            <w:shd w:val="clear" w:color="auto" w:fill="DBE5F1"/>
            <w:vAlign w:val="center"/>
          </w:tcPr>
          <w:p w14:paraId="552B835E" w14:textId="77777777" w:rsidR="000B56D1" w:rsidRPr="00A76C5C" w:rsidRDefault="000B56D1" w:rsidP="00D24411">
            <w:pPr>
              <w:jc w:val="center"/>
              <w:rPr>
                <w:b/>
                <w:bCs/>
                <w:color w:val="1728A9"/>
              </w:rPr>
            </w:pPr>
            <w:r w:rsidRPr="00A76C5C">
              <w:rPr>
                <w:b/>
                <w:bCs/>
                <w:color w:val="1728A9"/>
              </w:rPr>
              <w:t>Impact Hoog</w:t>
            </w:r>
          </w:p>
          <w:p w14:paraId="015BA051" w14:textId="77777777" w:rsidR="000B56D1" w:rsidRPr="00A76C5C" w:rsidRDefault="000B56D1" w:rsidP="00D24411">
            <w:pPr>
              <w:jc w:val="center"/>
              <w:rPr>
                <w:b/>
                <w:bCs/>
                <w:color w:val="1728A9"/>
              </w:rPr>
            </w:pPr>
            <w:r w:rsidRPr="00A76C5C">
              <w:rPr>
                <w:b/>
                <w:bCs/>
                <w:color w:val="1728A9"/>
              </w:rPr>
              <w:t>(3)</w:t>
            </w:r>
          </w:p>
        </w:tc>
        <w:tc>
          <w:tcPr>
            <w:tcW w:w="1665" w:type="dxa"/>
            <w:shd w:val="clear" w:color="auto" w:fill="FFFF00"/>
            <w:vAlign w:val="center"/>
          </w:tcPr>
          <w:p w14:paraId="3321FDDF" w14:textId="77777777" w:rsidR="000B56D1" w:rsidRPr="00A76C5C" w:rsidRDefault="000B56D1" w:rsidP="00D24411">
            <w:pPr>
              <w:jc w:val="center"/>
              <w:rPr>
                <w:b/>
                <w:bCs/>
              </w:rPr>
            </w:pPr>
            <w:r w:rsidRPr="00A76C5C">
              <w:rPr>
                <w:b/>
                <w:bCs/>
              </w:rPr>
              <w:t>Risico Medium</w:t>
            </w:r>
          </w:p>
          <w:p w14:paraId="3A152190" w14:textId="77777777" w:rsidR="000B56D1" w:rsidRPr="00A76C5C" w:rsidRDefault="000B56D1" w:rsidP="00D24411">
            <w:pPr>
              <w:jc w:val="center"/>
              <w:rPr>
                <w:b/>
                <w:bCs/>
                <w:color w:val="FFFFFF"/>
              </w:rPr>
            </w:pPr>
            <w:r w:rsidRPr="00A76C5C">
              <w:rPr>
                <w:b/>
                <w:bCs/>
              </w:rPr>
              <w:t>(3)</w:t>
            </w:r>
          </w:p>
        </w:tc>
        <w:tc>
          <w:tcPr>
            <w:tcW w:w="1664" w:type="dxa"/>
            <w:shd w:val="clear" w:color="auto" w:fill="FF9900"/>
            <w:vAlign w:val="center"/>
          </w:tcPr>
          <w:p w14:paraId="57B57694" w14:textId="77777777" w:rsidR="000B56D1" w:rsidRPr="00A76C5C" w:rsidRDefault="000B56D1" w:rsidP="00D24411">
            <w:pPr>
              <w:jc w:val="center"/>
              <w:rPr>
                <w:b/>
                <w:bCs/>
                <w:color w:val="FFFFFF"/>
              </w:rPr>
            </w:pPr>
            <w:r w:rsidRPr="00A76C5C">
              <w:rPr>
                <w:b/>
                <w:bCs/>
                <w:color w:val="FFFFFF"/>
              </w:rPr>
              <w:t>Risico Hoog</w:t>
            </w:r>
          </w:p>
          <w:p w14:paraId="6792E514" w14:textId="77777777" w:rsidR="000B56D1" w:rsidRPr="00A76C5C" w:rsidRDefault="000B56D1" w:rsidP="00D24411">
            <w:pPr>
              <w:jc w:val="center"/>
              <w:rPr>
                <w:b/>
                <w:bCs/>
                <w:color w:val="FFFFFF"/>
              </w:rPr>
            </w:pPr>
            <w:r w:rsidRPr="00A76C5C">
              <w:rPr>
                <w:b/>
                <w:bCs/>
                <w:color w:val="FFFFFF"/>
              </w:rPr>
              <w:t>(6)</w:t>
            </w:r>
          </w:p>
        </w:tc>
        <w:tc>
          <w:tcPr>
            <w:tcW w:w="1665" w:type="dxa"/>
            <w:shd w:val="clear" w:color="auto" w:fill="FF0000"/>
            <w:vAlign w:val="center"/>
          </w:tcPr>
          <w:p w14:paraId="096B1DE4" w14:textId="77777777" w:rsidR="000B56D1" w:rsidRPr="00A76C5C" w:rsidRDefault="000B56D1" w:rsidP="00D24411">
            <w:pPr>
              <w:jc w:val="center"/>
              <w:rPr>
                <w:b/>
                <w:bCs/>
                <w:color w:val="FFFFFF"/>
              </w:rPr>
            </w:pPr>
            <w:r w:rsidRPr="00A76C5C">
              <w:rPr>
                <w:b/>
                <w:bCs/>
                <w:color w:val="FFFFFF"/>
              </w:rPr>
              <w:t>Risico Zeer Hoog</w:t>
            </w:r>
          </w:p>
          <w:p w14:paraId="6D665D56" w14:textId="77777777" w:rsidR="000B56D1" w:rsidRPr="00A76C5C" w:rsidRDefault="000B56D1" w:rsidP="00D24411">
            <w:pPr>
              <w:jc w:val="center"/>
              <w:rPr>
                <w:b/>
                <w:bCs/>
                <w:color w:val="FFFFFF"/>
              </w:rPr>
            </w:pPr>
            <w:r w:rsidRPr="00A76C5C">
              <w:rPr>
                <w:b/>
                <w:bCs/>
                <w:color w:val="FFFFFF"/>
              </w:rPr>
              <w:t>(9)</w:t>
            </w:r>
          </w:p>
        </w:tc>
      </w:tr>
    </w:tbl>
    <w:p w14:paraId="241D3BBC" w14:textId="77777777" w:rsidR="000B56D1" w:rsidRPr="00A76C5C" w:rsidRDefault="000B56D1" w:rsidP="000B56D1">
      <w:pPr>
        <w:rPr>
          <w:i/>
          <w:iCs/>
          <w:sz w:val="16"/>
          <w:szCs w:val="16"/>
        </w:rPr>
      </w:pPr>
      <w:r w:rsidRPr="00A76C5C">
        <w:rPr>
          <w:i/>
          <w:iCs/>
          <w:sz w:val="16"/>
          <w:szCs w:val="16"/>
        </w:rPr>
        <w:t>Bron: SURF</w:t>
      </w:r>
    </w:p>
    <w:p w14:paraId="10896508" w14:textId="77777777" w:rsidR="000B56D1" w:rsidRPr="00A76C5C" w:rsidRDefault="000B56D1" w:rsidP="000B56D1">
      <w:pPr>
        <w:rPr>
          <w:i/>
          <w:iCs/>
        </w:rPr>
      </w:pPr>
    </w:p>
    <w:p w14:paraId="01F58D32" w14:textId="77777777" w:rsidR="000B56D1" w:rsidRPr="00A76C5C" w:rsidRDefault="000B56D1" w:rsidP="000B56D1">
      <w:pPr>
        <w:shd w:val="clear" w:color="auto" w:fill="FF0000"/>
        <w:rPr>
          <w:b/>
          <w:bCs/>
          <w:color w:val="FFFFFF"/>
          <w:sz w:val="24"/>
          <w:szCs w:val="24"/>
        </w:rPr>
      </w:pPr>
      <w:r w:rsidRPr="00A76C5C">
        <w:rPr>
          <w:b/>
          <w:bCs/>
          <w:color w:val="FFFFFF"/>
          <w:sz w:val="24"/>
          <w:szCs w:val="24"/>
        </w:rPr>
        <w:t>Rood (Risico Zeer Hoog)</w:t>
      </w:r>
    </w:p>
    <w:p w14:paraId="44366DDD" w14:textId="77777777" w:rsidR="000B56D1" w:rsidRPr="00A76C5C" w:rsidRDefault="000B56D1" w:rsidP="000B56D1">
      <w:r w:rsidRPr="00A76C5C">
        <w:t>• Er zijn ernstige ontwikkelingen die de dreiging acuut maken.</w:t>
      </w:r>
    </w:p>
    <w:p w14:paraId="772181B0" w14:textId="77777777" w:rsidR="000B56D1" w:rsidRPr="00A76C5C" w:rsidRDefault="000B56D1" w:rsidP="000B56D1">
      <w:r w:rsidRPr="00A76C5C">
        <w:t>• OF Maatregelen hebben nauwelijks effect, zodat de dreiging ernstig blijft.</w:t>
      </w:r>
    </w:p>
    <w:p w14:paraId="5B793BF1" w14:textId="77777777" w:rsidR="000B56D1" w:rsidRPr="00A76C5C" w:rsidRDefault="000B56D1" w:rsidP="000B56D1">
      <w:r w:rsidRPr="00A76C5C">
        <w:t>• OF Incidenten hebben zich meermaals voorgedaan in de sector.</w:t>
      </w:r>
    </w:p>
    <w:p w14:paraId="54FD61E5" w14:textId="77777777" w:rsidR="000B56D1" w:rsidRPr="00A76C5C" w:rsidRDefault="000B56D1" w:rsidP="000B56D1"/>
    <w:p w14:paraId="17A163C3" w14:textId="77777777" w:rsidR="000B56D1" w:rsidRPr="00A76C5C" w:rsidRDefault="000B56D1" w:rsidP="000B56D1">
      <w:pPr>
        <w:shd w:val="clear" w:color="auto" w:fill="FF9900"/>
        <w:rPr>
          <w:b/>
          <w:bCs/>
          <w:color w:val="FFFFFF"/>
          <w:sz w:val="24"/>
          <w:szCs w:val="24"/>
        </w:rPr>
      </w:pPr>
      <w:r w:rsidRPr="00A76C5C">
        <w:rPr>
          <w:b/>
          <w:bCs/>
          <w:color w:val="FFFFFF"/>
          <w:sz w:val="24"/>
          <w:szCs w:val="24"/>
        </w:rPr>
        <w:t>Oranje (Risico Hoog)</w:t>
      </w:r>
    </w:p>
    <w:p w14:paraId="257CF3F4" w14:textId="77777777" w:rsidR="000B56D1" w:rsidRPr="00A76C5C" w:rsidRDefault="000B56D1" w:rsidP="000B56D1">
      <w:r w:rsidRPr="00A76C5C">
        <w:t>• Er zijn duidelijke ontwikkelingen die de dreiging acuut maken.</w:t>
      </w:r>
    </w:p>
    <w:p w14:paraId="45A78F63" w14:textId="77777777" w:rsidR="000B56D1" w:rsidRPr="00A76C5C" w:rsidRDefault="000B56D1" w:rsidP="000B56D1">
      <w:r w:rsidRPr="00A76C5C">
        <w:t>• OF Maatregelen hebben beperkt effect, zodat de dreiging aanzienlijk blijft.</w:t>
      </w:r>
    </w:p>
    <w:p w14:paraId="4834A833" w14:textId="77777777" w:rsidR="000B56D1" w:rsidRPr="00A76C5C" w:rsidRDefault="000B56D1" w:rsidP="000B56D1">
      <w:r w:rsidRPr="00A76C5C">
        <w:t>• OF Incidenten hebben zich voorgedaan in de sector.</w:t>
      </w:r>
    </w:p>
    <w:p w14:paraId="27258133" w14:textId="77777777" w:rsidR="000B56D1" w:rsidRPr="00A76C5C" w:rsidRDefault="000B56D1" w:rsidP="000B56D1"/>
    <w:p w14:paraId="64DA3EBE" w14:textId="77777777" w:rsidR="000B56D1" w:rsidRPr="00A76C5C" w:rsidRDefault="000B56D1" w:rsidP="000B56D1">
      <w:pPr>
        <w:shd w:val="clear" w:color="auto" w:fill="FFFF00"/>
        <w:rPr>
          <w:b/>
          <w:bCs/>
          <w:sz w:val="24"/>
          <w:szCs w:val="24"/>
        </w:rPr>
      </w:pPr>
      <w:r w:rsidRPr="00A76C5C">
        <w:rPr>
          <w:b/>
          <w:bCs/>
          <w:sz w:val="24"/>
          <w:szCs w:val="24"/>
        </w:rPr>
        <w:t>Geel (Risico Medium)</w:t>
      </w:r>
    </w:p>
    <w:p w14:paraId="23A5E83A" w14:textId="77777777" w:rsidR="000B56D1" w:rsidRPr="00A76C5C" w:rsidRDefault="000B56D1" w:rsidP="000B56D1">
      <w:r w:rsidRPr="00A76C5C">
        <w:t>• Er worden nieuwe trends en fenomenen waargenomen waar de dreiging van uitgaat.</w:t>
      </w:r>
    </w:p>
    <w:p w14:paraId="2ECAAD72" w14:textId="77777777" w:rsidR="000B56D1" w:rsidRPr="00A76C5C" w:rsidRDefault="000B56D1" w:rsidP="000B56D1">
      <w:r w:rsidRPr="00A76C5C">
        <w:t>• OF Er zijn (beperkte) maatregelen beschikbaar om de dreiging weg te nemen.</w:t>
      </w:r>
    </w:p>
    <w:p w14:paraId="306CC6FB" w14:textId="77777777" w:rsidR="000B56D1" w:rsidRPr="00A76C5C" w:rsidRDefault="000B56D1" w:rsidP="000B56D1">
      <w:r w:rsidRPr="00A76C5C">
        <w:t>• OF Incidenten hebben zich voorgedaan buiten de sector.</w:t>
      </w:r>
    </w:p>
    <w:p w14:paraId="581A597C" w14:textId="77777777" w:rsidR="000B56D1" w:rsidRPr="00A76C5C" w:rsidRDefault="000B56D1" w:rsidP="000B56D1"/>
    <w:p w14:paraId="05E7BCC6" w14:textId="77777777" w:rsidR="000B56D1" w:rsidRPr="00A76C5C" w:rsidRDefault="000B56D1" w:rsidP="000B56D1">
      <w:pPr>
        <w:shd w:val="clear" w:color="auto" w:fill="00B0F0"/>
        <w:rPr>
          <w:b/>
          <w:bCs/>
          <w:color w:val="FFFFFF"/>
          <w:sz w:val="24"/>
          <w:szCs w:val="24"/>
        </w:rPr>
      </w:pPr>
      <w:r w:rsidRPr="00A76C5C">
        <w:rPr>
          <w:b/>
          <w:bCs/>
          <w:color w:val="FFFFFF"/>
          <w:sz w:val="24"/>
          <w:szCs w:val="24"/>
        </w:rPr>
        <w:t>Blauw (Risico Laag)</w:t>
      </w:r>
    </w:p>
    <w:p w14:paraId="2641996D" w14:textId="77777777" w:rsidR="000B56D1" w:rsidRPr="00A76C5C" w:rsidRDefault="000B56D1" w:rsidP="000B56D1">
      <w:pPr>
        <w:ind w:left="142" w:hanging="142"/>
      </w:pPr>
      <w:r w:rsidRPr="00A76C5C">
        <w:t>• Er worden geen nieuwe trends of fenomenen onderkend waar de dreiging van uitgaat.</w:t>
      </w:r>
    </w:p>
    <w:p w14:paraId="3DA7A57E" w14:textId="77777777" w:rsidR="000B56D1" w:rsidRPr="00A76C5C" w:rsidRDefault="000B56D1" w:rsidP="000B56D1">
      <w:pPr>
        <w:ind w:left="142" w:hanging="142"/>
      </w:pPr>
      <w:r w:rsidRPr="00A76C5C">
        <w:t>• OF Er zijn (voldoende) maatregelen beschikbaar om de dreiging weg te nemen.</w:t>
      </w:r>
    </w:p>
    <w:p w14:paraId="6384A3C5" w14:textId="77777777" w:rsidR="000B56D1" w:rsidRPr="00A76C5C" w:rsidRDefault="000B56D1" w:rsidP="000B56D1">
      <w:pPr>
        <w:ind w:left="142" w:hanging="142"/>
      </w:pPr>
      <w:r w:rsidRPr="00A76C5C">
        <w:t>• OF Er hebben zich geen noemenswaardige incidenten van de dreiging voorgedaan in de sector.</w:t>
      </w:r>
    </w:p>
    <w:p w14:paraId="728BA3F7" w14:textId="77777777" w:rsidR="000B56D1" w:rsidRDefault="000B56D1" w:rsidP="000B56D1">
      <w:pPr>
        <w:keepNext/>
        <w:keepLines/>
        <w:spacing w:before="40" w:line="259" w:lineRule="auto"/>
        <w:contextualSpacing w:val="0"/>
        <w:outlineLvl w:val="1"/>
      </w:pPr>
    </w:p>
    <w:p w14:paraId="721E2E0B" w14:textId="77777777" w:rsidR="000B56D1" w:rsidRPr="00A76C5C" w:rsidRDefault="000B56D1" w:rsidP="00851E38">
      <w:pPr>
        <w:pStyle w:val="Kop2"/>
        <w:rPr>
          <w:rFonts w:eastAsia="Times New Roman"/>
        </w:rPr>
      </w:pPr>
      <w:bookmarkStart w:id="50" w:name="_Toc144896486"/>
      <w:r w:rsidRPr="00A76C5C">
        <w:rPr>
          <w:rFonts w:eastAsia="Times New Roman"/>
        </w:rPr>
        <w:t>Risico beoordeling</w:t>
      </w:r>
      <w:bookmarkEnd w:id="50"/>
    </w:p>
    <w:p w14:paraId="0AD94AD2" w14:textId="77777777" w:rsidR="000B56D1" w:rsidRPr="00A76C5C" w:rsidRDefault="000B56D1" w:rsidP="000B56D1">
      <w:pPr>
        <w:rPr>
          <w:szCs w:val="22"/>
        </w:rPr>
      </w:pPr>
      <w:r w:rsidRPr="00A76C5C">
        <w:rPr>
          <w:szCs w:val="22"/>
        </w:rPr>
        <w:t>De risicoanalyse levert informatie op, waarmee het College van Bestuur in staat wordt gesteld te beslissen welke risico’s (of combinatie van risico’s) een te groot potentiële schade vormen en met welke maatregelen deze risico’s verkleind kunnen worden. Op hoofdlijnen zijn er vier reacties mogelijk op elk risico:</w:t>
      </w:r>
    </w:p>
    <w:p w14:paraId="4D180047" w14:textId="77777777" w:rsidR="000B56D1" w:rsidRPr="00A76C5C" w:rsidRDefault="000B56D1" w:rsidP="000B56D1">
      <w:pPr>
        <w:ind w:left="426" w:hanging="142"/>
        <w:rPr>
          <w:szCs w:val="22"/>
        </w:rPr>
      </w:pPr>
      <w:r w:rsidRPr="00A76C5C">
        <w:rPr>
          <w:szCs w:val="22"/>
        </w:rPr>
        <w:t>1.</w:t>
      </w:r>
      <w:r w:rsidRPr="00A76C5C">
        <w:rPr>
          <w:szCs w:val="22"/>
        </w:rPr>
        <w:tab/>
        <w:t>Risico vermijden (</w:t>
      </w:r>
      <w:proofErr w:type="spellStart"/>
      <w:r w:rsidRPr="00A76C5C">
        <w:rPr>
          <w:szCs w:val="22"/>
        </w:rPr>
        <w:t>avoid</w:t>
      </w:r>
      <w:proofErr w:type="spellEnd"/>
      <w:r w:rsidRPr="00A76C5C">
        <w:rPr>
          <w:szCs w:val="22"/>
        </w:rPr>
        <w:t>)</w:t>
      </w:r>
    </w:p>
    <w:p w14:paraId="2CCF8128" w14:textId="77777777" w:rsidR="000B56D1" w:rsidRPr="00A76C5C" w:rsidRDefault="000B56D1" w:rsidP="000B56D1">
      <w:pPr>
        <w:ind w:left="426" w:hanging="142"/>
        <w:rPr>
          <w:szCs w:val="22"/>
        </w:rPr>
      </w:pPr>
      <w:r w:rsidRPr="00A76C5C">
        <w:rPr>
          <w:szCs w:val="22"/>
        </w:rPr>
        <w:t>2.</w:t>
      </w:r>
      <w:r w:rsidRPr="00A76C5C">
        <w:rPr>
          <w:szCs w:val="22"/>
        </w:rPr>
        <w:tab/>
        <w:t>Risico verkleinen (</w:t>
      </w:r>
      <w:proofErr w:type="spellStart"/>
      <w:r w:rsidRPr="00A76C5C">
        <w:rPr>
          <w:szCs w:val="22"/>
        </w:rPr>
        <w:t>mitigation</w:t>
      </w:r>
      <w:proofErr w:type="spellEnd"/>
      <w:r w:rsidRPr="00A76C5C">
        <w:rPr>
          <w:szCs w:val="22"/>
        </w:rPr>
        <w:t>)</w:t>
      </w:r>
    </w:p>
    <w:p w14:paraId="2F9A9B72" w14:textId="77777777" w:rsidR="000B56D1" w:rsidRPr="00A76C5C" w:rsidRDefault="000B56D1" w:rsidP="000B56D1">
      <w:pPr>
        <w:ind w:left="426" w:hanging="142"/>
        <w:rPr>
          <w:szCs w:val="22"/>
        </w:rPr>
      </w:pPr>
      <w:r w:rsidRPr="00A76C5C">
        <w:rPr>
          <w:szCs w:val="22"/>
        </w:rPr>
        <w:t>3.</w:t>
      </w:r>
      <w:r w:rsidRPr="00A76C5C">
        <w:rPr>
          <w:szCs w:val="22"/>
        </w:rPr>
        <w:tab/>
        <w:t>Risico accepteren (accept)</w:t>
      </w:r>
    </w:p>
    <w:p w14:paraId="594A3BEE" w14:textId="77777777" w:rsidR="000B56D1" w:rsidRPr="00A76C5C" w:rsidRDefault="000B56D1" w:rsidP="000B56D1">
      <w:pPr>
        <w:ind w:left="426" w:hanging="142"/>
        <w:rPr>
          <w:szCs w:val="22"/>
        </w:rPr>
      </w:pPr>
      <w:r w:rsidRPr="00A76C5C">
        <w:rPr>
          <w:szCs w:val="22"/>
        </w:rPr>
        <w:t>4.</w:t>
      </w:r>
      <w:r w:rsidRPr="00A76C5C">
        <w:rPr>
          <w:szCs w:val="22"/>
        </w:rPr>
        <w:tab/>
        <w:t>Risico elders beleggen (transfer)</w:t>
      </w:r>
    </w:p>
    <w:p w14:paraId="6B4FA9F1" w14:textId="77777777" w:rsidR="007D3670" w:rsidRDefault="007D3670" w:rsidP="00A76C5C">
      <w:pPr>
        <w:spacing w:line="259" w:lineRule="auto"/>
        <w:contextualSpacing w:val="0"/>
        <w:rPr>
          <w:szCs w:val="22"/>
        </w:rPr>
      </w:pPr>
    </w:p>
    <w:sectPr w:rsidR="007D3670" w:rsidSect="00A76C5C">
      <w:headerReference w:type="default" r:id="rId16"/>
      <w:footerReference w:type="default" r:id="rId17"/>
      <w:pgSz w:w="16838" w:h="11906" w:orient="landscape"/>
      <w:pgMar w:top="1417" w:right="1417" w:bottom="1416"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2522" w14:textId="77777777" w:rsidR="00751390" w:rsidRDefault="00751390" w:rsidP="0003449B">
      <w:r>
        <w:separator/>
      </w:r>
    </w:p>
  </w:endnote>
  <w:endnote w:type="continuationSeparator" w:id="0">
    <w:p w14:paraId="54D509A7" w14:textId="77777777" w:rsidR="00751390" w:rsidRDefault="00751390" w:rsidP="0003449B">
      <w:r>
        <w:continuationSeparator/>
      </w:r>
    </w:p>
  </w:endnote>
  <w:endnote w:type="continuationNotice" w:id="1">
    <w:p w14:paraId="34953529" w14:textId="77777777" w:rsidR="00751390" w:rsidRDefault="00751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34214BB6" w:rsidR="00751390" w:rsidRPr="004D2539" w:rsidRDefault="009811A9" w:rsidP="004662EE">
            <w:pPr>
              <w:pStyle w:val="Voettekst"/>
              <w:rPr>
                <w:rFonts w:asciiTheme="minorHAnsi" w:hAnsiTheme="minorHAnsi" w:cstheme="minorHAnsi"/>
                <w:color w:val="0070C0"/>
              </w:rPr>
            </w:pPr>
            <w:r>
              <w:rPr>
                <w:rFonts w:asciiTheme="minorHAnsi" w:hAnsiTheme="minorHAnsi" w:cstheme="minorHAnsi"/>
                <w:color w:val="0070C0"/>
              </w:rPr>
              <w:t>NBADOC G05-Risk Management 6-9-2023</w:t>
            </w:r>
            <w:r w:rsidR="00751390" w:rsidRPr="004D2539">
              <w:rPr>
                <w:rFonts w:asciiTheme="minorHAnsi" w:hAnsiTheme="minorHAnsi" w:cstheme="minorHAnsi"/>
                <w:color w:val="0070C0"/>
              </w:rPr>
              <w:tab/>
            </w:r>
            <w:r w:rsidR="00751390" w:rsidRPr="004D2539">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sidRPr="004D2539">
              <w:rPr>
                <w:rFonts w:asciiTheme="minorHAnsi" w:hAnsiTheme="minorHAnsi" w:cstheme="minorHAnsi"/>
                <w:color w:val="0070C0"/>
              </w:rPr>
              <w:t xml:space="preserve">Pagina </w:t>
            </w:r>
            <w:r w:rsidR="00751390" w:rsidRPr="004D2539">
              <w:rPr>
                <w:rFonts w:asciiTheme="minorHAnsi" w:hAnsiTheme="minorHAnsi" w:cstheme="minorHAnsi"/>
                <w:b/>
                <w:bCs/>
                <w:color w:val="0070C0"/>
                <w:sz w:val="24"/>
                <w:szCs w:val="24"/>
              </w:rPr>
              <w:fldChar w:fldCharType="begin"/>
            </w:r>
            <w:r w:rsidR="00751390" w:rsidRPr="004D2539">
              <w:rPr>
                <w:rFonts w:asciiTheme="minorHAnsi" w:hAnsiTheme="minorHAnsi" w:cstheme="minorHAnsi"/>
                <w:b/>
                <w:bCs/>
                <w:color w:val="0070C0"/>
              </w:rPr>
              <w:instrText>PAGE</w:instrText>
            </w:r>
            <w:r w:rsidR="00751390" w:rsidRPr="004D2539">
              <w:rPr>
                <w:rFonts w:asciiTheme="minorHAnsi" w:hAnsiTheme="minorHAnsi" w:cstheme="minorHAnsi"/>
                <w:b/>
                <w:bCs/>
                <w:color w:val="0070C0"/>
                <w:sz w:val="24"/>
                <w:szCs w:val="24"/>
              </w:rPr>
              <w:fldChar w:fldCharType="separate"/>
            </w:r>
            <w:r w:rsidR="00751390" w:rsidRPr="004D2539">
              <w:rPr>
                <w:rFonts w:asciiTheme="minorHAnsi" w:hAnsiTheme="minorHAnsi" w:cstheme="minorHAnsi"/>
                <w:b/>
                <w:bCs/>
                <w:noProof/>
                <w:color w:val="0070C0"/>
              </w:rPr>
              <w:t>14</w:t>
            </w:r>
            <w:r w:rsidR="00751390" w:rsidRPr="004D2539">
              <w:rPr>
                <w:rFonts w:asciiTheme="minorHAnsi" w:hAnsiTheme="minorHAnsi" w:cstheme="minorHAnsi"/>
                <w:b/>
                <w:bCs/>
                <w:color w:val="0070C0"/>
                <w:sz w:val="24"/>
                <w:szCs w:val="24"/>
              </w:rPr>
              <w:fldChar w:fldCharType="end"/>
            </w:r>
            <w:r w:rsidR="00751390" w:rsidRPr="004D2539">
              <w:rPr>
                <w:rFonts w:asciiTheme="minorHAnsi" w:hAnsiTheme="minorHAnsi" w:cstheme="minorHAnsi"/>
                <w:color w:val="0070C0"/>
              </w:rPr>
              <w:t xml:space="preserve"> van </w:t>
            </w:r>
            <w:r w:rsidR="00751390" w:rsidRPr="004D2539">
              <w:rPr>
                <w:rFonts w:asciiTheme="minorHAnsi" w:hAnsiTheme="minorHAnsi" w:cstheme="minorHAnsi"/>
                <w:b/>
                <w:bCs/>
                <w:color w:val="0070C0"/>
                <w:sz w:val="24"/>
                <w:szCs w:val="24"/>
              </w:rPr>
              <w:fldChar w:fldCharType="begin"/>
            </w:r>
            <w:r w:rsidR="00751390" w:rsidRPr="004D2539">
              <w:rPr>
                <w:rFonts w:asciiTheme="minorHAnsi" w:hAnsiTheme="minorHAnsi" w:cstheme="minorHAnsi"/>
                <w:b/>
                <w:bCs/>
                <w:color w:val="0070C0"/>
              </w:rPr>
              <w:instrText>NUMPAGES</w:instrText>
            </w:r>
            <w:r w:rsidR="00751390" w:rsidRPr="004D2539">
              <w:rPr>
                <w:rFonts w:asciiTheme="minorHAnsi" w:hAnsiTheme="minorHAnsi" w:cstheme="minorHAnsi"/>
                <w:b/>
                <w:bCs/>
                <w:color w:val="0070C0"/>
                <w:sz w:val="24"/>
                <w:szCs w:val="24"/>
              </w:rPr>
              <w:fldChar w:fldCharType="separate"/>
            </w:r>
            <w:r w:rsidR="00751390" w:rsidRPr="004D2539">
              <w:rPr>
                <w:rFonts w:asciiTheme="minorHAnsi" w:hAnsiTheme="minorHAnsi" w:cstheme="minorHAnsi"/>
                <w:b/>
                <w:bCs/>
                <w:noProof/>
                <w:color w:val="0070C0"/>
              </w:rPr>
              <w:t>14</w:t>
            </w:r>
            <w:r w:rsidR="00751390" w:rsidRPr="004D2539">
              <w:rPr>
                <w:rFonts w:asciiTheme="minorHAnsi" w:hAnsiTheme="minorHAnsi" w:cstheme="minorHAnsi"/>
                <w:b/>
                <w:bCs/>
                <w:color w:val="0070C0"/>
                <w:sz w:val="24"/>
                <w:szCs w:val="24"/>
              </w:rPr>
              <w:fldChar w:fldCharType="end"/>
            </w:r>
          </w:p>
        </w:sdtContent>
      </w:sdt>
    </w:sdtContent>
  </w:sdt>
  <w:p w14:paraId="6AC733C0" w14:textId="2E51EA8A" w:rsidR="00751390" w:rsidRPr="00960FB7" w:rsidRDefault="00751390"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2179" w14:textId="77777777" w:rsidR="00751390" w:rsidRDefault="00751390" w:rsidP="0003449B">
      <w:r>
        <w:separator/>
      </w:r>
    </w:p>
  </w:footnote>
  <w:footnote w:type="continuationSeparator" w:id="0">
    <w:p w14:paraId="0E197067" w14:textId="77777777" w:rsidR="00751390" w:rsidRDefault="00751390" w:rsidP="0003449B">
      <w:r>
        <w:continuationSeparator/>
      </w:r>
    </w:p>
  </w:footnote>
  <w:footnote w:type="continuationNotice" w:id="1">
    <w:p w14:paraId="0E30096E" w14:textId="77777777" w:rsidR="00751390" w:rsidRDefault="00751390"/>
  </w:footnote>
  <w:footnote w:id="2">
    <w:p w14:paraId="2E8BD57C" w14:textId="1A7F9BF6" w:rsidR="00751390" w:rsidRDefault="00751390" w:rsidP="00A76C5C">
      <w:pPr>
        <w:pStyle w:val="Voetnoottekst"/>
      </w:pPr>
      <w:r>
        <w:rPr>
          <w:rStyle w:val="Voetnootmarkering"/>
        </w:rPr>
        <w:footnoteRef/>
      </w:r>
      <w:r>
        <w:t xml:space="preserve"> </w:t>
      </w:r>
      <w:r w:rsidRPr="00451114">
        <w:t xml:space="preserve">CYBERDREIGINGSBEELD </w:t>
      </w:r>
      <w:r w:rsidR="000B56D1">
        <w:t>2023</w:t>
      </w:r>
      <w:r w:rsidRPr="00451114">
        <w:t xml:space="preserve"> ONDERWIJS EN ONDERZOEK, SURF Utrecht</w:t>
      </w:r>
    </w:p>
  </w:footnote>
  <w:footnote w:id="3">
    <w:p w14:paraId="0FE9F94C" w14:textId="77777777" w:rsidR="000B56D1" w:rsidRDefault="000B56D1" w:rsidP="000B56D1">
      <w:pPr>
        <w:pStyle w:val="Voetnoottekst"/>
      </w:pPr>
      <w:r>
        <w:rPr>
          <w:rStyle w:val="Voetnootmarkering"/>
        </w:rPr>
        <w:footnoteRef/>
      </w:r>
      <w:r>
        <w:t xml:space="preserve"> CYBERDREIGINGSBEELD 2021-2022 ONDERWIJS EN ONDERZOEK, SURF Utrecht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2156ECB8" w:rsidR="00751390" w:rsidRPr="00FD04E3" w:rsidRDefault="009811A9" w:rsidP="00A76C5C">
    <w:pPr>
      <w:pStyle w:val="Koptekst"/>
      <w:tabs>
        <w:tab w:val="clear" w:pos="4536"/>
        <w:tab w:val="clear" w:pos="9072"/>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4384" behindDoc="0" locked="0" layoutInCell="1" allowOverlap="1" wp14:anchorId="1EC41F52" wp14:editId="145B9E74">
          <wp:simplePos x="0" y="0"/>
          <wp:positionH relativeFrom="margin">
            <wp:posOffset>7034</wp:posOffset>
          </wp:positionH>
          <wp:positionV relativeFrom="paragraph">
            <wp:posOffset>-77812</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00751390">
      <w:rPr>
        <w:noProof/>
      </w:rPr>
      <w:drawing>
        <wp:anchor distT="0" distB="0" distL="114300" distR="114300" simplePos="0" relativeHeight="251662336" behindDoc="0" locked="0" layoutInCell="1" allowOverlap="1" wp14:anchorId="235FC243" wp14:editId="4C2FC96C">
          <wp:simplePos x="0" y="0"/>
          <wp:positionH relativeFrom="column">
            <wp:posOffset>8187055</wp:posOffset>
          </wp:positionH>
          <wp:positionV relativeFrom="paragraph">
            <wp:posOffset>-107315</wp:posOffset>
          </wp:positionV>
          <wp:extent cx="571500" cy="476250"/>
          <wp:effectExtent l="0" t="0" r="0" b="0"/>
          <wp:wrapThrough wrapText="bothSides">
            <wp:wrapPolygon edited="0">
              <wp:start x="1440" y="0"/>
              <wp:lineTo x="1440" y="20736"/>
              <wp:lineTo x="19440" y="20736"/>
              <wp:lineTo x="19440" y="0"/>
              <wp:lineTo x="1440" y="0"/>
            </wp:wrapPolygon>
          </wp:wrapThrough>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pic:spPr>
              </pic:pic>
            </a:graphicData>
          </a:graphic>
          <wp14:sizeRelH relativeFrom="page">
            <wp14:pctWidth>0</wp14:pctWidth>
          </wp14:sizeRelH>
          <wp14:sizeRelV relativeFrom="page">
            <wp14:pctHeight>0</wp14:pctHeight>
          </wp14:sizeRelV>
        </wp:anchor>
      </w:drawing>
    </w:r>
    <w:r w:rsidR="00751390">
      <w:rPr>
        <w:rFonts w:asciiTheme="minorHAnsi" w:hAnsiTheme="minorHAnsi" w:cstheme="minorBidi"/>
        <w:b/>
        <w:bCs/>
        <w:noProof/>
        <w:color w:val="0070C0"/>
        <w:sz w:val="32"/>
        <w:szCs w:val="32"/>
        <w:lang w:eastAsia="nl-NL"/>
      </w:rPr>
      <w:drawing>
        <wp:anchor distT="0" distB="0" distL="114300" distR="114300" simplePos="0" relativeHeight="251661312" behindDoc="0" locked="0" layoutInCell="1" allowOverlap="1" wp14:anchorId="6D8575BD" wp14:editId="5F3BA1B9">
          <wp:simplePos x="0" y="0"/>
          <wp:positionH relativeFrom="column">
            <wp:posOffset>8187055</wp:posOffset>
          </wp:positionH>
          <wp:positionV relativeFrom="paragraph">
            <wp:posOffset>-114935</wp:posOffset>
          </wp:positionV>
          <wp:extent cx="578485" cy="482600"/>
          <wp:effectExtent l="0" t="0" r="0" b="0"/>
          <wp:wrapThrough wrapText="bothSides">
            <wp:wrapPolygon edited="0">
              <wp:start x="1423" y="0"/>
              <wp:lineTo x="1423" y="20463"/>
              <wp:lineTo x="19205" y="20463"/>
              <wp:lineTo x="19205" y="0"/>
              <wp:lineTo x="1423" y="0"/>
            </wp:wrapPolygon>
          </wp:wrapThrough>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82600"/>
                  </a:xfrm>
                  <a:prstGeom prst="rect">
                    <a:avLst/>
                  </a:prstGeom>
                  <a:noFill/>
                </pic:spPr>
              </pic:pic>
            </a:graphicData>
          </a:graphic>
          <wp14:sizeRelH relativeFrom="page">
            <wp14:pctWidth>0</wp14:pctWidth>
          </wp14:sizeRelH>
          <wp14:sizeRelV relativeFrom="page">
            <wp14:pctHeight>0</wp14:pctHeight>
          </wp14:sizeRelV>
        </wp:anchor>
      </w:drawing>
    </w:r>
    <w:r w:rsidR="00751390" w:rsidRPr="00A76C5C">
      <w:rPr>
        <w:noProof/>
      </w:rPr>
      <w:t xml:space="preserve"> </w:t>
    </w:r>
    <w:r w:rsidR="00751390">
      <w:rPr>
        <w:rFonts w:asciiTheme="minorHAnsi" w:hAnsiTheme="minorHAnsi" w:cstheme="minorBidi"/>
        <w:b/>
        <w:bCs/>
        <w:noProof/>
        <w:color w:val="0070C0"/>
        <w:sz w:val="32"/>
        <w:szCs w:val="32"/>
        <w:lang w:eastAsia="nl-NL"/>
      </w:rPr>
      <w:t>Risk Management</w:t>
    </w:r>
    <w:r w:rsidR="00751390"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B13"/>
    <w:multiLevelType w:val="hybridMultilevel"/>
    <w:tmpl w:val="C1AA24FC"/>
    <w:lvl w:ilvl="0" w:tplc="24D68AF2">
      <w:start w:val="1"/>
      <w:numFmt w:val="bullet"/>
      <w:lvlText w:val=""/>
      <w:lvlJc w:val="left"/>
      <w:pPr>
        <w:ind w:left="720" w:hanging="360"/>
      </w:pPr>
      <w:rPr>
        <w:rFonts w:ascii="Symbol" w:hAnsi="Symbol" w:hint="default"/>
        <w:color w:val="1728A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F48A4"/>
    <w:multiLevelType w:val="hybridMultilevel"/>
    <w:tmpl w:val="EF0C2D84"/>
    <w:lvl w:ilvl="0" w:tplc="24D68AF2">
      <w:start w:val="1"/>
      <w:numFmt w:val="bullet"/>
      <w:lvlText w:val=""/>
      <w:lvlJc w:val="left"/>
      <w:pPr>
        <w:ind w:left="720" w:hanging="360"/>
      </w:pPr>
      <w:rPr>
        <w:rFonts w:ascii="Symbol" w:hAnsi="Symbol" w:hint="default"/>
        <w:color w:val="1728A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B140CF"/>
    <w:multiLevelType w:val="multilevel"/>
    <w:tmpl w:val="F63A97FE"/>
    <w:lvl w:ilvl="0">
      <w:start w:val="1"/>
      <w:numFmt w:val="decimal"/>
      <w:pStyle w:val="Kop1"/>
      <w:lvlText w:val="%1."/>
      <w:lvlJc w:val="left"/>
      <w:pPr>
        <w:ind w:left="2062" w:hanging="360"/>
      </w:pPr>
      <w:rPr>
        <w:rFonts w:hint="default"/>
      </w:rPr>
    </w:lvl>
    <w:lvl w:ilvl="1">
      <w:start w:val="1"/>
      <w:numFmt w:val="decimal"/>
      <w:pStyle w:val="Kop2"/>
      <w:lvlText w:val="%1.%2."/>
      <w:lvlJc w:val="left"/>
      <w:pPr>
        <w:ind w:left="440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5F3420"/>
    <w:multiLevelType w:val="hybridMultilevel"/>
    <w:tmpl w:val="B8508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714D6B16"/>
    <w:multiLevelType w:val="hybridMultilevel"/>
    <w:tmpl w:val="104ED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E75E69"/>
    <w:multiLevelType w:val="hybridMultilevel"/>
    <w:tmpl w:val="9DD467F2"/>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16cid:durableId="538783246">
    <w:abstractNumId w:val="4"/>
  </w:num>
  <w:num w:numId="2" w16cid:durableId="671180894">
    <w:abstractNumId w:val="2"/>
  </w:num>
  <w:num w:numId="3" w16cid:durableId="1300182812">
    <w:abstractNumId w:val="0"/>
  </w:num>
  <w:num w:numId="4" w16cid:durableId="2020769670">
    <w:abstractNumId w:val="1"/>
  </w:num>
  <w:num w:numId="5" w16cid:durableId="1963150447">
    <w:abstractNumId w:val="6"/>
  </w:num>
  <w:num w:numId="6" w16cid:durableId="1866404899">
    <w:abstractNumId w:val="5"/>
  </w:num>
  <w:num w:numId="7" w16cid:durableId="86120517">
    <w:abstractNumId w:val="3"/>
  </w:num>
  <w:num w:numId="8" w16cid:durableId="81102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A0B"/>
    <w:rsid w:val="00094058"/>
    <w:rsid w:val="000A0596"/>
    <w:rsid w:val="000A259A"/>
    <w:rsid w:val="000A66D8"/>
    <w:rsid w:val="000B56D1"/>
    <w:rsid w:val="000B5DE2"/>
    <w:rsid w:val="000B6A11"/>
    <w:rsid w:val="000C1A96"/>
    <w:rsid w:val="000C757C"/>
    <w:rsid w:val="000D04C6"/>
    <w:rsid w:val="000D1477"/>
    <w:rsid w:val="000D33A9"/>
    <w:rsid w:val="000D3B3C"/>
    <w:rsid w:val="000D3F13"/>
    <w:rsid w:val="000D5B42"/>
    <w:rsid w:val="000D6054"/>
    <w:rsid w:val="000E1641"/>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7D0"/>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5695"/>
    <w:rsid w:val="00146377"/>
    <w:rsid w:val="00150135"/>
    <w:rsid w:val="001505A1"/>
    <w:rsid w:val="001526B4"/>
    <w:rsid w:val="00152CCA"/>
    <w:rsid w:val="00154860"/>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3E44"/>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77E89"/>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15BFB"/>
    <w:rsid w:val="00421F93"/>
    <w:rsid w:val="004243A2"/>
    <w:rsid w:val="004252DD"/>
    <w:rsid w:val="00425CC8"/>
    <w:rsid w:val="00426062"/>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DF2"/>
    <w:rsid w:val="004C003C"/>
    <w:rsid w:val="004C1580"/>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5B2C"/>
    <w:rsid w:val="00566392"/>
    <w:rsid w:val="0057211E"/>
    <w:rsid w:val="00572EB1"/>
    <w:rsid w:val="00576000"/>
    <w:rsid w:val="00581620"/>
    <w:rsid w:val="005820A2"/>
    <w:rsid w:val="00583416"/>
    <w:rsid w:val="00583517"/>
    <w:rsid w:val="00585182"/>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1390"/>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25E"/>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3670"/>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CF9"/>
    <w:rsid w:val="00835282"/>
    <w:rsid w:val="00837466"/>
    <w:rsid w:val="00837685"/>
    <w:rsid w:val="00837698"/>
    <w:rsid w:val="00840751"/>
    <w:rsid w:val="00841C3D"/>
    <w:rsid w:val="00844E5B"/>
    <w:rsid w:val="008453AC"/>
    <w:rsid w:val="00846082"/>
    <w:rsid w:val="00846FFE"/>
    <w:rsid w:val="008518AD"/>
    <w:rsid w:val="00851E38"/>
    <w:rsid w:val="00860741"/>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027E"/>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5FBC"/>
    <w:rsid w:val="00966FD3"/>
    <w:rsid w:val="0097056E"/>
    <w:rsid w:val="00973411"/>
    <w:rsid w:val="00980842"/>
    <w:rsid w:val="00980F2C"/>
    <w:rsid w:val="009811A9"/>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6C5C"/>
    <w:rsid w:val="00A775CF"/>
    <w:rsid w:val="00A77785"/>
    <w:rsid w:val="00A83BF3"/>
    <w:rsid w:val="00A840E3"/>
    <w:rsid w:val="00A84144"/>
    <w:rsid w:val="00A842DD"/>
    <w:rsid w:val="00A91E02"/>
    <w:rsid w:val="00A95831"/>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5AFE"/>
    <w:rsid w:val="00AF6A60"/>
    <w:rsid w:val="00AF731C"/>
    <w:rsid w:val="00B02286"/>
    <w:rsid w:val="00B07777"/>
    <w:rsid w:val="00B07AC0"/>
    <w:rsid w:val="00B11B02"/>
    <w:rsid w:val="00B1219B"/>
    <w:rsid w:val="00B13BC5"/>
    <w:rsid w:val="00B14745"/>
    <w:rsid w:val="00B1717F"/>
    <w:rsid w:val="00B21050"/>
    <w:rsid w:val="00B2290E"/>
    <w:rsid w:val="00B22F0F"/>
    <w:rsid w:val="00B2730A"/>
    <w:rsid w:val="00B27959"/>
    <w:rsid w:val="00B27D7B"/>
    <w:rsid w:val="00B3078B"/>
    <w:rsid w:val="00B329AF"/>
    <w:rsid w:val="00B33AC2"/>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074"/>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D40"/>
    <w:rsid w:val="00D641EC"/>
    <w:rsid w:val="00D675F9"/>
    <w:rsid w:val="00D67972"/>
    <w:rsid w:val="00D707C1"/>
    <w:rsid w:val="00D708EC"/>
    <w:rsid w:val="00D72C76"/>
    <w:rsid w:val="00D73539"/>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8A3"/>
    <w:rsid w:val="00E35D2C"/>
    <w:rsid w:val="00E36564"/>
    <w:rsid w:val="00E3672A"/>
    <w:rsid w:val="00E36F8E"/>
    <w:rsid w:val="00E41BD2"/>
    <w:rsid w:val="00E42EB5"/>
    <w:rsid w:val="00E44FF0"/>
    <w:rsid w:val="00E45597"/>
    <w:rsid w:val="00E45903"/>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24B"/>
    <w:rsid w:val="00F04570"/>
    <w:rsid w:val="00F05F88"/>
    <w:rsid w:val="00F06B7C"/>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6CE3"/>
    <w:rsid w:val="00F62816"/>
    <w:rsid w:val="00F64320"/>
    <w:rsid w:val="00F65383"/>
    <w:rsid w:val="00F65B9A"/>
    <w:rsid w:val="00F71787"/>
    <w:rsid w:val="00F74E5A"/>
    <w:rsid w:val="00F76F7A"/>
    <w:rsid w:val="00F778AF"/>
    <w:rsid w:val="00F77CEB"/>
    <w:rsid w:val="00F82613"/>
    <w:rsid w:val="00F83E9B"/>
    <w:rsid w:val="00F87496"/>
    <w:rsid w:val="00F91A35"/>
    <w:rsid w:val="00F91E02"/>
    <w:rsid w:val="00F92126"/>
    <w:rsid w:val="00F921D9"/>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9"/>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851E38"/>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851E38"/>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965FBC"/>
    <w:pPr>
      <w:outlineLvl w:val="1"/>
    </w:pPr>
    <w:rPr>
      <w:rFonts w:eastAsiaTheme="majorEastAsia" w:cstheme="majorBidi"/>
      <w:b/>
      <w:color w:val="0070C0"/>
      <w:sz w:val="22"/>
      <w:szCs w:val="24"/>
    </w:rPr>
  </w:style>
  <w:style w:type="character" w:customStyle="1" w:styleId="OndertitelChar">
    <w:name w:val="Ondertitel Char"/>
    <w:basedOn w:val="Standaardalinea-lettertype"/>
    <w:link w:val="Ondertitel"/>
    <w:uiPriority w:val="11"/>
    <w:rsid w:val="00965FBC"/>
    <w:rPr>
      <w:rFonts w:eastAsiaTheme="majorEastAsia" w:cstheme="majorBidi"/>
      <w:b/>
      <w:color w:val="0070C0"/>
      <w:sz w:val="22"/>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numbering" w:customStyle="1" w:styleId="Geenlijst3">
    <w:name w:val="Geen lijst3"/>
    <w:next w:val="Geenlijst"/>
    <w:uiPriority w:val="99"/>
    <w:semiHidden/>
    <w:unhideWhenUsed/>
    <w:rsid w:val="00A76C5C"/>
  </w:style>
  <w:style w:type="table" w:customStyle="1" w:styleId="Tabelraster5">
    <w:name w:val="Tabelraster5"/>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A76C5C"/>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A76C5C"/>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A76C5C"/>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A76C5C"/>
    <w:pPr>
      <w:keepNext/>
      <w:keepLines/>
      <w:spacing w:before="40"/>
      <w:contextualSpacing w:val="0"/>
      <w:outlineLvl w:val="3"/>
    </w:pPr>
    <w:rPr>
      <w:rFonts w:ascii="Calibri Light" w:eastAsia="Times New Roman" w:hAnsi="Calibri Light"/>
      <w:i/>
      <w:iCs/>
      <w:color w:val="2F5496"/>
      <w:szCs w:val="22"/>
    </w:rPr>
  </w:style>
  <w:style w:type="table" w:customStyle="1" w:styleId="Tabelraster12">
    <w:name w:val="Tabelraster12"/>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A76C5C"/>
    <w:rPr>
      <w:b/>
      <w:color w:val="4472C4"/>
      <w:sz w:val="32"/>
      <w:szCs w:val="22"/>
    </w:rPr>
  </w:style>
  <w:style w:type="table" w:customStyle="1" w:styleId="Tabelraster7">
    <w:name w:val="Tabelraster7"/>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A76C5C"/>
    <w:rPr>
      <w:rFonts w:ascii="Calibri Light" w:eastAsia="Times New Roman" w:hAnsi="Calibri Light" w:cs="Times New Roman"/>
      <w:color w:val="2F5496"/>
      <w:sz w:val="32"/>
      <w:szCs w:val="32"/>
    </w:rPr>
  </w:style>
  <w:style w:type="character" w:customStyle="1" w:styleId="Kop4Char1">
    <w:name w:val="Kop 4 Char1"/>
    <w:basedOn w:val="Standaardalinea-lettertype"/>
    <w:uiPriority w:val="9"/>
    <w:semiHidden/>
    <w:rsid w:val="00A76C5C"/>
    <w:rPr>
      <w:rFonts w:ascii="Calibri Light" w:eastAsia="Times New Roman" w:hAnsi="Calibri Light" w:cs="Times New Roman"/>
      <w:i/>
      <w:iCs/>
      <w:color w:val="2F5496"/>
    </w:rPr>
  </w:style>
  <w:style w:type="character" w:customStyle="1" w:styleId="Kop2Char1">
    <w:name w:val="Kop 2 Char1"/>
    <w:basedOn w:val="Standaardalinea-lettertype"/>
    <w:uiPriority w:val="9"/>
    <w:semiHidden/>
    <w:rsid w:val="00A76C5C"/>
    <w:rPr>
      <w:rFonts w:ascii="Calibri Light" w:eastAsia="Times New Roman" w:hAnsi="Calibri Light" w:cs="Times New Roman"/>
      <w:color w:val="2F5496"/>
      <w:sz w:val="26"/>
      <w:szCs w:val="26"/>
    </w:rPr>
  </w:style>
  <w:style w:type="character" w:customStyle="1" w:styleId="Kop3Char1">
    <w:name w:val="Kop 3 Char1"/>
    <w:basedOn w:val="Standaardalinea-lettertype"/>
    <w:uiPriority w:val="9"/>
    <w:semiHidden/>
    <w:rsid w:val="00A76C5C"/>
    <w:rPr>
      <w:rFonts w:ascii="Calibri Light" w:eastAsia="Times New Roman" w:hAnsi="Calibri Light" w:cs="Times New Roman"/>
      <w:color w:val="1F3763"/>
      <w:sz w:val="24"/>
      <w:szCs w:val="24"/>
    </w:rPr>
  </w:style>
  <w:style w:type="table" w:customStyle="1" w:styleId="Tabelraster20">
    <w:name w:val="Tabelraster20"/>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ieveverwijzing1">
    <w:name w:val="Intensieve verwijzing1"/>
    <w:basedOn w:val="Standaardalinea-lettertype"/>
    <w:uiPriority w:val="32"/>
    <w:qFormat/>
    <w:rsid w:val="00A76C5C"/>
    <w:rPr>
      <w:b/>
      <w:bCs/>
      <w:smallCaps/>
      <w:color w:val="4472C4"/>
      <w:spacing w:val="5"/>
    </w:rPr>
  </w:style>
  <w:style w:type="character" w:styleId="Intensieveverwijzing">
    <w:name w:val="Intense Reference"/>
    <w:basedOn w:val="Standaardalinea-lettertype"/>
    <w:uiPriority w:val="32"/>
    <w:rsid w:val="00A76C5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498809184">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2.xml><?xml version="1.0" encoding="utf-8"?>
<ds:datastoreItem xmlns:ds="http://schemas.openxmlformats.org/officeDocument/2006/customXml" ds:itemID="{991BE5E4-7219-4569-AC29-38BD72F6CE9E}"/>
</file>

<file path=customXml/itemProps3.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5086</Words>
  <Characters>27973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4</cp:revision>
  <cp:lastPrinted>2018-02-10T15:40:00Z</cp:lastPrinted>
  <dcterms:created xsi:type="dcterms:W3CDTF">2023-09-06T10:56:00Z</dcterms:created>
  <dcterms:modified xsi:type="dcterms:W3CDTF">2023-09-11T10:04:00Z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