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4E0" w14:textId="245106DC" w:rsidR="004662EE" w:rsidRDefault="004662EE">
      <w:pPr>
        <w:contextualSpacing w:val="0"/>
        <w:rPr>
          <w:rFonts w:asciiTheme="minorHAnsi" w:hAnsiTheme="minorHAnsi" w:cstheme="minorHAnsi"/>
          <w:b/>
          <w:color w:val="002060"/>
          <w:sz w:val="36"/>
          <w:szCs w:val="36"/>
        </w:rPr>
      </w:pPr>
      <w:bookmarkStart w:id="0" w:name="_Hlk57734039"/>
      <w:bookmarkEnd w:id="0"/>
    </w:p>
    <w:p w14:paraId="5380FAF7" w14:textId="08C2BD18" w:rsidR="00A84144" w:rsidRDefault="00A84144">
      <w:pPr>
        <w:contextualSpacing w:val="0"/>
        <w:rPr>
          <w:rFonts w:asciiTheme="minorHAnsi" w:hAnsiTheme="minorHAnsi" w:cstheme="minorHAnsi"/>
          <w:b/>
          <w:color w:val="002060"/>
          <w:sz w:val="36"/>
          <w:szCs w:val="36"/>
        </w:rPr>
      </w:pPr>
    </w:p>
    <w:p w14:paraId="2D36BA48" w14:textId="7E6480AB" w:rsidR="00A84144" w:rsidRDefault="00BA3922">
      <w:pPr>
        <w:contextualSpacing w:val="0"/>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3FC61269" wp14:editId="34716CB7">
            <wp:extent cx="583438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22596868" w14:textId="5B071A52" w:rsidR="00A84144" w:rsidRDefault="00A84144">
      <w:pPr>
        <w:contextualSpacing w:val="0"/>
        <w:rPr>
          <w:rFonts w:asciiTheme="minorHAnsi" w:hAnsiTheme="minorHAnsi" w:cstheme="minorHAnsi"/>
          <w:b/>
          <w:color w:val="002060"/>
          <w:sz w:val="36"/>
          <w:szCs w:val="36"/>
        </w:rPr>
      </w:pPr>
    </w:p>
    <w:p w14:paraId="70BC491B" w14:textId="4CD98C7C" w:rsidR="004662EE" w:rsidRDefault="004662EE">
      <w:pPr>
        <w:contextualSpacing w:val="0"/>
        <w:rPr>
          <w:rFonts w:asciiTheme="minorHAnsi" w:hAnsiTheme="minorHAnsi" w:cstheme="minorHAnsi"/>
          <w:b/>
          <w:color w:val="002060"/>
          <w:sz w:val="36"/>
          <w:szCs w:val="36"/>
        </w:rPr>
      </w:pPr>
    </w:p>
    <w:p w14:paraId="73FD7AA1" w14:textId="538BF8A7" w:rsidR="004662EE" w:rsidRDefault="004662EE">
      <w:pPr>
        <w:contextualSpacing w:val="0"/>
        <w:rPr>
          <w:rFonts w:asciiTheme="minorHAnsi" w:hAnsiTheme="minorHAnsi" w:cstheme="minorHAnsi"/>
          <w:b/>
          <w:color w:val="002060"/>
          <w:sz w:val="36"/>
          <w:szCs w:val="36"/>
        </w:rPr>
      </w:pPr>
    </w:p>
    <w:p w14:paraId="3FF14BDE" w14:textId="77777777" w:rsidR="001D6A2F" w:rsidRDefault="001D6A2F" w:rsidP="009B063F">
      <w:pPr>
        <w:contextualSpacing w:val="0"/>
        <w:jc w:val="center"/>
        <w:rPr>
          <w:rFonts w:asciiTheme="minorHAnsi" w:hAnsiTheme="minorHAnsi" w:cstheme="minorHAnsi"/>
          <w:color w:val="0070C0"/>
          <w:sz w:val="36"/>
          <w:szCs w:val="36"/>
        </w:rPr>
      </w:pPr>
      <w:r w:rsidRPr="00D52EB7">
        <w:rPr>
          <w:rFonts w:asciiTheme="minorHAnsi" w:hAnsiTheme="minorHAnsi" w:cstheme="minorHAnsi"/>
          <w:b/>
          <w:color w:val="0070C0"/>
          <w:sz w:val="72"/>
          <w:szCs w:val="72"/>
        </w:rPr>
        <w:t>Strategie</w:t>
      </w:r>
      <w:r>
        <w:rPr>
          <w:rFonts w:asciiTheme="minorHAnsi" w:hAnsiTheme="minorHAnsi" w:cstheme="minorHAnsi"/>
          <w:color w:val="0070C0"/>
          <w:sz w:val="36"/>
          <w:szCs w:val="36"/>
        </w:rPr>
        <w:t xml:space="preserve"> </w:t>
      </w:r>
    </w:p>
    <w:p w14:paraId="68AB96B3" w14:textId="34A88489" w:rsidR="009B063F" w:rsidRPr="004D2539" w:rsidRDefault="00BA3922"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5A730EA8" w14:textId="658CD6E4" w:rsidR="004662EE" w:rsidRDefault="004662EE">
      <w:pPr>
        <w:contextualSpacing w:val="0"/>
        <w:rPr>
          <w:rFonts w:asciiTheme="minorHAnsi" w:hAnsiTheme="minorHAnsi" w:cstheme="minorHAnsi"/>
          <w:b/>
          <w:color w:val="002060"/>
          <w:sz w:val="36"/>
          <w:szCs w:val="36"/>
        </w:rPr>
      </w:pPr>
    </w:p>
    <w:p w14:paraId="655783E7" w14:textId="77777777" w:rsidR="004D2539" w:rsidRDefault="004D2539">
      <w:pPr>
        <w:contextualSpacing w:val="0"/>
        <w:rPr>
          <w:rFonts w:asciiTheme="minorHAnsi" w:hAnsiTheme="minorHAnsi" w:cstheme="minorHAnsi"/>
          <w:b/>
          <w:color w:val="002060"/>
          <w:sz w:val="36"/>
          <w:szCs w:val="36"/>
        </w:rPr>
      </w:pPr>
    </w:p>
    <w:p w14:paraId="0B119BD1" w14:textId="77777777" w:rsidR="004D2539" w:rsidRDefault="004D2539" w:rsidP="002803C2">
      <w:pPr>
        <w:contextualSpacing w:val="0"/>
        <w:jc w:val="both"/>
        <w:rPr>
          <w:rFonts w:asciiTheme="minorHAnsi" w:hAnsiTheme="minorHAnsi" w:cstheme="minorHAnsi"/>
          <w:b/>
          <w:color w:val="002060"/>
          <w:sz w:val="36"/>
          <w:szCs w:val="36"/>
        </w:rPr>
      </w:pPr>
    </w:p>
    <w:p w14:paraId="59BA9256" w14:textId="77777777" w:rsidR="004D2539" w:rsidRDefault="004D2539" w:rsidP="002803C2">
      <w:pPr>
        <w:contextualSpacing w:val="0"/>
        <w:jc w:val="both"/>
        <w:rPr>
          <w:rFonts w:asciiTheme="minorHAnsi" w:hAnsiTheme="minorHAnsi" w:cstheme="minorHAnsi"/>
          <w:b/>
          <w:color w:val="002060"/>
          <w:sz w:val="36"/>
          <w:szCs w:val="36"/>
        </w:rPr>
      </w:pPr>
    </w:p>
    <w:p w14:paraId="0B1DB8D5" w14:textId="3D935F44" w:rsidR="007E3185" w:rsidRPr="00DE5A19" w:rsidRDefault="004662EE" w:rsidP="002803C2">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w:t>
      </w:r>
      <w:r w:rsidR="00C55BFD" w:rsidRPr="004D2539">
        <w:rPr>
          <w:rFonts w:asciiTheme="minorHAnsi" w:hAnsiTheme="minorHAnsi" w:cstheme="minorHAnsi"/>
          <w:b/>
          <w:color w:val="0070C0"/>
          <w:sz w:val="36"/>
          <w:szCs w:val="36"/>
        </w:rPr>
        <w:t>ersiebeheer</w:t>
      </w:r>
      <w:r w:rsidR="00146377"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E9149C" w:rsidRPr="00583416" w14:paraId="5FF2ECC6" w14:textId="77777777" w:rsidTr="004D2539">
        <w:trPr>
          <w:trHeight w:val="250"/>
        </w:trPr>
        <w:tc>
          <w:tcPr>
            <w:tcW w:w="846" w:type="dxa"/>
          </w:tcPr>
          <w:p w14:paraId="4CE98D80" w14:textId="77777777" w:rsidR="00E9149C" w:rsidRPr="00583416" w:rsidRDefault="00E9149C" w:rsidP="00DB386A">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36E640BE" w14:textId="77777777" w:rsidR="00E9149C" w:rsidRPr="00583416" w:rsidRDefault="00E9149C" w:rsidP="002803C2">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3A4E7950" w14:textId="77777777" w:rsidR="00E9149C" w:rsidRPr="00583416" w:rsidRDefault="00E9149C" w:rsidP="002803C2">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6F90C60E" w14:textId="77777777" w:rsidR="00E9149C" w:rsidRPr="00583416" w:rsidRDefault="00E9149C" w:rsidP="002803C2">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200AF8AE" w14:textId="77777777" w:rsidR="00E9149C" w:rsidRPr="00583416" w:rsidRDefault="00E9149C" w:rsidP="002803C2">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67309E" w:rsidRPr="00583416" w14:paraId="3426E479" w14:textId="77777777" w:rsidTr="004D2539">
        <w:tc>
          <w:tcPr>
            <w:tcW w:w="846" w:type="dxa"/>
          </w:tcPr>
          <w:p w14:paraId="05723F4D" w14:textId="4ECF0F33" w:rsidR="0067309E" w:rsidRPr="00583416" w:rsidRDefault="00C32738" w:rsidP="00DB386A">
            <w:pPr>
              <w:contextualSpacing w:val="0"/>
              <w:jc w:val="center"/>
              <w:rPr>
                <w:rFonts w:asciiTheme="minorHAnsi" w:eastAsiaTheme="majorEastAsia" w:hAnsiTheme="minorHAnsi" w:cstheme="minorHAnsi"/>
                <w:bCs/>
                <w:lang w:eastAsia="nl-NL"/>
              </w:rPr>
            </w:pPr>
            <w:bookmarkStart w:id="1" w:name="_Hlk46315588"/>
            <w:r>
              <w:rPr>
                <w:rFonts w:asciiTheme="minorHAnsi" w:eastAsiaTheme="majorEastAsia" w:hAnsiTheme="minorHAnsi" w:cstheme="minorHAnsi"/>
                <w:bCs/>
                <w:lang w:eastAsia="nl-NL"/>
              </w:rPr>
              <w:t>0.1</w:t>
            </w:r>
          </w:p>
        </w:tc>
        <w:tc>
          <w:tcPr>
            <w:tcW w:w="992" w:type="dxa"/>
          </w:tcPr>
          <w:p w14:paraId="0AF31882" w14:textId="1925609C" w:rsidR="0067309E" w:rsidRPr="00583416" w:rsidRDefault="00C32738" w:rsidP="0067309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2AFFFB29" w14:textId="23159A8D" w:rsidR="0067309E" w:rsidRPr="00583416" w:rsidRDefault="001D6A2F" w:rsidP="0067309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226A52A8" w14:textId="1173E6D8" w:rsidR="00D87ABB" w:rsidRDefault="00C32738" w:rsidP="004D2539">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266BB826" w14:textId="2DC56984" w:rsidR="001D6A2F" w:rsidRDefault="001D6A2F" w:rsidP="004D2539">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5DC1D5D1" w14:textId="77777777" w:rsidR="001D6A2F" w:rsidRDefault="001D6A2F" w:rsidP="004D2539">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395315C2" w14:textId="0A9F0448" w:rsidR="001D6A2F" w:rsidRPr="00583416" w:rsidRDefault="001D6A2F" w:rsidP="004D2539">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4376805A" w14:textId="27FC37EC" w:rsidR="0067309E" w:rsidRPr="00583416" w:rsidRDefault="001D6A2F" w:rsidP="0067309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1"/>
      <w:tr w:rsidR="003928B9" w:rsidRPr="00583416" w14:paraId="059F5EED" w14:textId="77777777" w:rsidTr="004D2539">
        <w:tc>
          <w:tcPr>
            <w:tcW w:w="846" w:type="dxa"/>
          </w:tcPr>
          <w:p w14:paraId="51C45F39" w14:textId="3E11275F" w:rsidR="003928B9" w:rsidRDefault="003928B9" w:rsidP="0011095D">
            <w:pPr>
              <w:contextualSpacing w:val="0"/>
              <w:jc w:val="center"/>
              <w:rPr>
                <w:rFonts w:asciiTheme="minorHAnsi" w:eastAsiaTheme="majorEastAsia" w:hAnsiTheme="minorHAnsi" w:cstheme="minorHAnsi"/>
                <w:bCs/>
                <w:lang w:eastAsia="nl-NL"/>
              </w:rPr>
            </w:pPr>
          </w:p>
        </w:tc>
        <w:tc>
          <w:tcPr>
            <w:tcW w:w="992" w:type="dxa"/>
          </w:tcPr>
          <w:p w14:paraId="7585E585" w14:textId="7DB90566" w:rsidR="003928B9" w:rsidRDefault="003928B9" w:rsidP="0011095D">
            <w:pPr>
              <w:contextualSpacing w:val="0"/>
              <w:jc w:val="both"/>
              <w:rPr>
                <w:rFonts w:asciiTheme="minorHAnsi" w:eastAsiaTheme="majorEastAsia" w:hAnsiTheme="minorHAnsi" w:cstheme="minorHAnsi"/>
                <w:bCs/>
                <w:lang w:eastAsia="nl-NL"/>
              </w:rPr>
            </w:pPr>
          </w:p>
        </w:tc>
        <w:tc>
          <w:tcPr>
            <w:tcW w:w="1276" w:type="dxa"/>
          </w:tcPr>
          <w:p w14:paraId="2CC31B06" w14:textId="0C7849EF" w:rsidR="003928B9" w:rsidRDefault="003928B9" w:rsidP="0011095D">
            <w:pPr>
              <w:contextualSpacing w:val="0"/>
              <w:jc w:val="both"/>
              <w:rPr>
                <w:rFonts w:asciiTheme="minorHAnsi" w:eastAsiaTheme="majorEastAsia" w:hAnsiTheme="minorHAnsi" w:cstheme="minorHAnsi"/>
                <w:bCs/>
                <w:lang w:eastAsia="nl-NL"/>
              </w:rPr>
            </w:pPr>
          </w:p>
        </w:tc>
        <w:tc>
          <w:tcPr>
            <w:tcW w:w="3118" w:type="dxa"/>
          </w:tcPr>
          <w:p w14:paraId="53F08AD2" w14:textId="1923C639" w:rsidR="003928B9" w:rsidRDefault="003928B9" w:rsidP="0011095D">
            <w:pPr>
              <w:contextualSpacing w:val="0"/>
              <w:jc w:val="both"/>
              <w:rPr>
                <w:rFonts w:asciiTheme="minorHAnsi" w:eastAsiaTheme="majorEastAsia" w:hAnsiTheme="minorHAnsi" w:cstheme="minorHAnsi"/>
                <w:bCs/>
                <w:lang w:eastAsia="nl-NL"/>
              </w:rPr>
            </w:pPr>
          </w:p>
        </w:tc>
        <w:tc>
          <w:tcPr>
            <w:tcW w:w="3119" w:type="dxa"/>
          </w:tcPr>
          <w:p w14:paraId="4E0A8BBB" w14:textId="2B272E31" w:rsidR="003928B9" w:rsidRDefault="003928B9" w:rsidP="0011095D">
            <w:pPr>
              <w:contextualSpacing w:val="0"/>
              <w:jc w:val="both"/>
              <w:rPr>
                <w:rFonts w:asciiTheme="minorHAnsi" w:eastAsiaTheme="majorEastAsia" w:hAnsiTheme="minorHAnsi" w:cstheme="minorHAnsi"/>
                <w:bCs/>
                <w:lang w:eastAsia="nl-NL"/>
              </w:rPr>
            </w:pPr>
          </w:p>
        </w:tc>
      </w:tr>
    </w:tbl>
    <w:p w14:paraId="1BF4D8FD" w14:textId="77777777" w:rsidR="000D6054" w:rsidRPr="00583416" w:rsidRDefault="000D6054" w:rsidP="002803C2">
      <w:pPr>
        <w:contextualSpacing w:val="0"/>
        <w:jc w:val="both"/>
        <w:rPr>
          <w:rFonts w:asciiTheme="minorHAnsi" w:eastAsiaTheme="majorEastAsia" w:hAnsiTheme="minorHAnsi" w:cstheme="minorHAnsi"/>
          <w:b/>
          <w:bCs/>
          <w:color w:val="1728A9"/>
          <w:sz w:val="18"/>
          <w:szCs w:val="18"/>
          <w:lang w:eastAsia="nl-NL"/>
        </w:rPr>
      </w:pPr>
    </w:p>
    <w:p w14:paraId="2C54759F" w14:textId="77777777" w:rsidR="00146377" w:rsidRPr="00583416" w:rsidRDefault="00146377" w:rsidP="002803C2">
      <w:pPr>
        <w:contextualSpacing w:val="0"/>
        <w:jc w:val="both"/>
        <w:rPr>
          <w:rFonts w:asciiTheme="minorHAnsi" w:hAnsiTheme="minorHAnsi" w:cstheme="minorHAnsi"/>
          <w:b/>
          <w:color w:val="002060"/>
          <w:sz w:val="24"/>
          <w:szCs w:val="24"/>
        </w:rPr>
      </w:pPr>
    </w:p>
    <w:p w14:paraId="5E76C927" w14:textId="2B7B56C9" w:rsidR="000D6054" w:rsidRPr="004D2539" w:rsidRDefault="00694EFE" w:rsidP="002803C2">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Vastgesteld</w:t>
      </w:r>
      <w:r w:rsidR="000D6054" w:rsidRPr="004D2539">
        <w:rPr>
          <w:rFonts w:asciiTheme="minorHAnsi" w:hAnsiTheme="minorHAnsi" w:cstheme="minorHAnsi"/>
          <w:b/>
          <w:color w:val="0070C0"/>
          <w:sz w:val="24"/>
          <w:szCs w:val="24"/>
        </w:rPr>
        <w:t xml:space="preserve"> door</w:t>
      </w:r>
      <w:r w:rsidR="006B1AF3" w:rsidRPr="004D2539">
        <w:rPr>
          <w:rFonts w:asciiTheme="minorHAnsi" w:hAnsiTheme="minorHAnsi" w:cstheme="minorHAnsi"/>
          <w:b/>
          <w:color w:val="0070C0"/>
          <w:sz w:val="24"/>
          <w:szCs w:val="24"/>
        </w:rPr>
        <w:t xml:space="preserve"> </w:t>
      </w:r>
      <w:r w:rsidR="00BA3922">
        <w:rPr>
          <w:rFonts w:asciiTheme="minorHAnsi" w:hAnsiTheme="minorHAnsi" w:cstheme="minorHAnsi"/>
          <w:b/>
          <w:color w:val="0070C0"/>
          <w:sz w:val="24"/>
          <w:szCs w:val="24"/>
        </w:rPr>
        <w:t>Security Nederland</w:t>
      </w:r>
      <w:r w:rsidR="000D6054"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4D2539" w:rsidRPr="00583416" w14:paraId="5725C7D5" w14:textId="77777777" w:rsidTr="004D2539">
        <w:tc>
          <w:tcPr>
            <w:tcW w:w="988" w:type="dxa"/>
          </w:tcPr>
          <w:p w14:paraId="0E0FC70C" w14:textId="77777777" w:rsidR="004D2539" w:rsidRPr="00583416" w:rsidRDefault="004D2539" w:rsidP="00694EF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3DA23C0C" w14:textId="77777777" w:rsidR="004D2539" w:rsidRPr="00583416" w:rsidRDefault="004D2539" w:rsidP="00694EF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13E66A09" w14:textId="6DE61B52" w:rsidR="004D2539" w:rsidRPr="00583416" w:rsidRDefault="004D2539" w:rsidP="00694EF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097E8E4D" w14:textId="797E91E3" w:rsidR="004D2539" w:rsidRPr="00583416" w:rsidRDefault="004D2539" w:rsidP="00694EF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4D2539" w:rsidRPr="00583416" w14:paraId="51C7306D" w14:textId="77777777" w:rsidTr="004D2539">
        <w:tc>
          <w:tcPr>
            <w:tcW w:w="988" w:type="dxa"/>
          </w:tcPr>
          <w:p w14:paraId="5F70287E" w14:textId="4E9A4C27" w:rsidR="004D2539" w:rsidRPr="00583416" w:rsidRDefault="00BA3922" w:rsidP="00BA3922">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43B0A56B" w14:textId="77777777" w:rsidR="004D2539" w:rsidRPr="00583416" w:rsidRDefault="004D2539" w:rsidP="00694EFE">
            <w:pPr>
              <w:contextualSpacing w:val="0"/>
              <w:jc w:val="both"/>
              <w:rPr>
                <w:rFonts w:asciiTheme="minorHAnsi" w:eastAsiaTheme="majorEastAsia" w:hAnsiTheme="minorHAnsi" w:cstheme="minorHAnsi"/>
                <w:bCs/>
                <w:lang w:eastAsia="nl-NL"/>
              </w:rPr>
            </w:pPr>
          </w:p>
        </w:tc>
        <w:tc>
          <w:tcPr>
            <w:tcW w:w="2236" w:type="dxa"/>
          </w:tcPr>
          <w:p w14:paraId="6AC6CE76" w14:textId="03BBC6A5" w:rsidR="004D2539" w:rsidRPr="00583416" w:rsidRDefault="004D2539" w:rsidP="00694EFE">
            <w:pPr>
              <w:contextualSpacing w:val="0"/>
              <w:jc w:val="both"/>
              <w:rPr>
                <w:rFonts w:asciiTheme="minorHAnsi" w:eastAsiaTheme="majorEastAsia" w:hAnsiTheme="minorHAnsi" w:cstheme="minorHAnsi"/>
                <w:bCs/>
                <w:lang w:eastAsia="nl-NL"/>
              </w:rPr>
            </w:pPr>
          </w:p>
        </w:tc>
        <w:tc>
          <w:tcPr>
            <w:tcW w:w="2522" w:type="dxa"/>
          </w:tcPr>
          <w:p w14:paraId="67EB87D7" w14:textId="01B80A1F" w:rsidR="004D2539" w:rsidRPr="00583416" w:rsidRDefault="00BA3922" w:rsidP="000D6054">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72D05379" w14:textId="77777777" w:rsidR="0018358A" w:rsidRPr="00583416" w:rsidRDefault="0018358A" w:rsidP="002803C2">
      <w:pPr>
        <w:contextualSpacing w:val="0"/>
        <w:jc w:val="both"/>
        <w:rPr>
          <w:rFonts w:asciiTheme="minorHAnsi" w:eastAsia="PMingLiU" w:hAnsiTheme="minorHAnsi" w:cstheme="minorHAnsi"/>
          <w:b/>
          <w:bCs/>
          <w:color w:val="1728A9"/>
          <w:sz w:val="18"/>
          <w:szCs w:val="18"/>
          <w:lang w:eastAsia="nl-NL"/>
        </w:rPr>
      </w:pPr>
    </w:p>
    <w:p w14:paraId="2AE52E6D" w14:textId="77777777" w:rsidR="0018358A" w:rsidRPr="00C55BFD" w:rsidRDefault="0018358A" w:rsidP="002803C2">
      <w:pPr>
        <w:contextualSpacing w:val="0"/>
        <w:jc w:val="both"/>
        <w:rPr>
          <w:rFonts w:ascii="Arial" w:eastAsia="PMingLiU" w:hAnsi="Arial" w:cs="Arial"/>
          <w:b/>
          <w:bCs/>
          <w:color w:val="1728A9"/>
          <w:sz w:val="18"/>
          <w:szCs w:val="18"/>
          <w:lang w:eastAsia="nl-NL"/>
        </w:rPr>
      </w:pPr>
    </w:p>
    <w:p w14:paraId="2BF65189" w14:textId="77777777" w:rsidR="001D6A2F" w:rsidRPr="001D6A2F" w:rsidRDefault="001D6A2F" w:rsidP="001D6A2F">
      <w:pPr>
        <w:contextualSpacing w:val="0"/>
        <w:rPr>
          <w:b/>
          <w:bCs/>
          <w:color w:val="2E74B5"/>
        </w:rPr>
      </w:pPr>
      <w:r w:rsidRPr="001D6A2F">
        <w:rPr>
          <w:b/>
          <w:bCs/>
          <w:color w:val="2E74B5"/>
        </w:rPr>
        <w:t>Sommige rechten voorbehouden</w:t>
      </w:r>
    </w:p>
    <w:p w14:paraId="23A2BDFA" w14:textId="77777777" w:rsidR="001D6A2F" w:rsidRPr="001D6A2F" w:rsidRDefault="001D6A2F" w:rsidP="001D6A2F">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355EE50E" w14:textId="77777777" w:rsidR="001D6A2F" w:rsidRPr="001D6A2F" w:rsidRDefault="001D6A2F" w:rsidP="001D6A2F">
      <w:pPr>
        <w:contextualSpacing w:val="0"/>
        <w:rPr>
          <w:sz w:val="16"/>
          <w:szCs w:val="16"/>
        </w:rPr>
      </w:pPr>
      <w:r w:rsidRPr="001D6A2F">
        <w:rPr>
          <w:noProof/>
          <w:sz w:val="22"/>
          <w:szCs w:val="22"/>
        </w:rPr>
        <w:drawing>
          <wp:anchor distT="0" distB="0" distL="114300" distR="114300" simplePos="0" relativeHeight="251659264" behindDoc="0" locked="0" layoutInCell="1" allowOverlap="1" wp14:anchorId="51D73F9E" wp14:editId="49B07687">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61DA2" w14:textId="77777777" w:rsidR="001D6A2F" w:rsidRPr="001D6A2F" w:rsidRDefault="001D6A2F" w:rsidP="001D6A2F">
      <w:pPr>
        <w:contextualSpacing w:val="0"/>
        <w:rPr>
          <w:sz w:val="16"/>
          <w:szCs w:val="16"/>
          <w:lang w:val="en-US"/>
        </w:rPr>
      </w:pPr>
      <w:r w:rsidRPr="001D6A2F">
        <w:rPr>
          <w:sz w:val="16"/>
          <w:szCs w:val="16"/>
          <w:lang w:val="en-US"/>
        </w:rPr>
        <w:t>Creative commons</w:t>
      </w:r>
    </w:p>
    <w:p w14:paraId="782B97A1" w14:textId="77777777" w:rsidR="001D6A2F" w:rsidRPr="001D6A2F" w:rsidRDefault="001D6A2F" w:rsidP="001D6A2F">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3B64FC24" w14:textId="77777777" w:rsidR="001D6A2F" w:rsidRPr="001D6A2F" w:rsidRDefault="001D6A2F" w:rsidP="001D6A2F">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2C29C646" w14:textId="77777777" w:rsidR="001D6A2F" w:rsidRPr="001D6A2F" w:rsidRDefault="001D6A2F" w:rsidP="001D6A2F">
      <w:pPr>
        <w:contextualSpacing w:val="0"/>
        <w:rPr>
          <w:sz w:val="16"/>
          <w:szCs w:val="16"/>
          <w:lang w:val="en-US" w:eastAsia="nl-NL"/>
        </w:rPr>
      </w:pPr>
    </w:p>
    <w:p w14:paraId="59A8330F" w14:textId="77777777" w:rsidR="001D6A2F" w:rsidRPr="001D6A2F" w:rsidRDefault="001D6A2F" w:rsidP="001D6A2F">
      <w:pPr>
        <w:contextualSpacing w:val="0"/>
        <w:rPr>
          <w:sz w:val="16"/>
          <w:szCs w:val="16"/>
          <w:lang w:eastAsia="nl-NL"/>
        </w:rPr>
      </w:pPr>
      <w:r w:rsidRPr="001D6A2F">
        <w:rPr>
          <w:sz w:val="16"/>
          <w:szCs w:val="16"/>
          <w:lang w:eastAsia="nl-NL"/>
        </w:rPr>
        <w:t>De gebruiker mag:</w:t>
      </w:r>
    </w:p>
    <w:p w14:paraId="24BBB92B" w14:textId="77777777" w:rsidR="001D6A2F" w:rsidRPr="001D6A2F" w:rsidRDefault="001D6A2F" w:rsidP="001D6A2F">
      <w:pPr>
        <w:contextualSpacing w:val="0"/>
        <w:rPr>
          <w:sz w:val="16"/>
          <w:szCs w:val="16"/>
          <w:lang w:eastAsia="nl-NL"/>
        </w:rPr>
      </w:pPr>
      <w:r w:rsidRPr="001D6A2F">
        <w:rPr>
          <w:sz w:val="16"/>
          <w:szCs w:val="16"/>
          <w:lang w:eastAsia="nl-NL"/>
        </w:rPr>
        <w:t>Het werk kopiëren, verspreiden en doorgeven</w:t>
      </w:r>
    </w:p>
    <w:p w14:paraId="50BB5D9E" w14:textId="77777777" w:rsidR="001D6A2F" w:rsidRPr="001D6A2F" w:rsidRDefault="001D6A2F" w:rsidP="001D6A2F">
      <w:pPr>
        <w:contextualSpacing w:val="0"/>
        <w:rPr>
          <w:sz w:val="16"/>
          <w:szCs w:val="16"/>
          <w:lang w:eastAsia="nl-NL"/>
        </w:rPr>
      </w:pPr>
      <w:r w:rsidRPr="001D6A2F">
        <w:rPr>
          <w:sz w:val="16"/>
          <w:szCs w:val="16"/>
          <w:lang w:eastAsia="nl-NL"/>
        </w:rPr>
        <w:t>Remixen – afgeleide werken maken</w:t>
      </w:r>
    </w:p>
    <w:p w14:paraId="3F035CAD" w14:textId="77777777" w:rsidR="001D6A2F" w:rsidRPr="001D6A2F" w:rsidRDefault="001D6A2F" w:rsidP="001D6A2F">
      <w:pPr>
        <w:contextualSpacing w:val="0"/>
        <w:rPr>
          <w:sz w:val="16"/>
          <w:szCs w:val="16"/>
          <w:lang w:eastAsia="nl-NL"/>
        </w:rPr>
      </w:pPr>
      <w:r w:rsidRPr="001D6A2F">
        <w:rPr>
          <w:sz w:val="16"/>
          <w:szCs w:val="16"/>
          <w:lang w:eastAsia="nl-NL"/>
        </w:rPr>
        <w:t>Onder de volgende voorwaarde:</w:t>
      </w:r>
    </w:p>
    <w:p w14:paraId="7F07305C" w14:textId="77777777" w:rsidR="001D6A2F" w:rsidRPr="001D6A2F" w:rsidRDefault="001D6A2F" w:rsidP="001D6A2F">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0A2F5081" w14:textId="77777777" w:rsidR="0018358A" w:rsidRPr="00C55BFD" w:rsidRDefault="0018358A" w:rsidP="002803C2">
      <w:pPr>
        <w:contextualSpacing w:val="0"/>
        <w:jc w:val="both"/>
        <w:rPr>
          <w:rFonts w:ascii="Arial" w:eastAsia="PMingLiU" w:hAnsi="Arial" w:cs="Arial"/>
          <w:b/>
          <w:bCs/>
          <w:color w:val="1728A9"/>
          <w:sz w:val="18"/>
          <w:szCs w:val="18"/>
          <w:lang w:eastAsia="nl-NL"/>
        </w:rPr>
      </w:pPr>
    </w:p>
    <w:p w14:paraId="7157AE76" w14:textId="4BF70413" w:rsidR="000E4E1C" w:rsidRDefault="00164498">
      <w:pPr>
        <w:pStyle w:val="Inhopg1"/>
        <w:rPr>
          <w:rFonts w:eastAsiaTheme="minorEastAsia" w:cstheme="minorBidi"/>
          <w:b w:val="0"/>
          <w:bCs w:val="0"/>
          <w:caps w:val="0"/>
          <w:noProof/>
          <w:sz w:val="22"/>
          <w:szCs w:val="22"/>
          <w:lang w:eastAsia="nl-NL"/>
        </w:rPr>
      </w:pPr>
      <w:r w:rsidRPr="00C55BFD">
        <w:rPr>
          <w:rFonts w:ascii="Arial" w:eastAsiaTheme="majorEastAsia" w:hAnsi="Arial" w:cs="Arial"/>
          <w:b w:val="0"/>
          <w:bCs w:val="0"/>
          <w:color w:val="1728A9"/>
          <w:sz w:val="18"/>
          <w:szCs w:val="18"/>
          <w:lang w:eastAsia="nl-NL"/>
        </w:rPr>
        <w:lastRenderedPageBreak/>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b w:val="0"/>
          <w:bCs w:val="0"/>
          <w:color w:val="1728A9"/>
          <w:sz w:val="18"/>
          <w:szCs w:val="18"/>
          <w:lang w:eastAsia="nl-NL"/>
        </w:rPr>
        <w:fldChar w:fldCharType="separate"/>
      </w:r>
      <w:hyperlink w:anchor="_Toc144807477" w:history="1">
        <w:r w:rsidR="000E4E1C" w:rsidRPr="00A8413B">
          <w:rPr>
            <w:rStyle w:val="Hyperlink"/>
            <w:noProof/>
          </w:rPr>
          <w:t>1.</w:t>
        </w:r>
        <w:r w:rsidR="000E4E1C">
          <w:rPr>
            <w:rFonts w:eastAsiaTheme="minorEastAsia" w:cstheme="minorBidi"/>
            <w:b w:val="0"/>
            <w:bCs w:val="0"/>
            <w:caps w:val="0"/>
            <w:noProof/>
            <w:sz w:val="22"/>
            <w:szCs w:val="22"/>
            <w:lang w:eastAsia="nl-NL"/>
          </w:rPr>
          <w:tab/>
        </w:r>
        <w:r w:rsidR="000E4E1C" w:rsidRPr="00A8413B">
          <w:rPr>
            <w:rStyle w:val="Hyperlink"/>
            <w:noProof/>
          </w:rPr>
          <w:t>Inleiding</w:t>
        </w:r>
        <w:r w:rsidR="000E4E1C">
          <w:rPr>
            <w:noProof/>
            <w:webHidden/>
          </w:rPr>
          <w:tab/>
        </w:r>
        <w:r w:rsidR="000E4E1C">
          <w:rPr>
            <w:noProof/>
            <w:webHidden/>
          </w:rPr>
          <w:fldChar w:fldCharType="begin"/>
        </w:r>
        <w:r w:rsidR="000E4E1C">
          <w:rPr>
            <w:noProof/>
            <w:webHidden/>
          </w:rPr>
          <w:instrText xml:space="preserve"> PAGEREF _Toc144807477 \h </w:instrText>
        </w:r>
        <w:r w:rsidR="000E4E1C">
          <w:rPr>
            <w:noProof/>
            <w:webHidden/>
          </w:rPr>
        </w:r>
        <w:r w:rsidR="000E4E1C">
          <w:rPr>
            <w:noProof/>
            <w:webHidden/>
          </w:rPr>
          <w:fldChar w:fldCharType="separate"/>
        </w:r>
        <w:r w:rsidR="000E4E1C">
          <w:rPr>
            <w:noProof/>
            <w:webHidden/>
          </w:rPr>
          <w:t>3</w:t>
        </w:r>
        <w:r w:rsidR="000E4E1C">
          <w:rPr>
            <w:noProof/>
            <w:webHidden/>
          </w:rPr>
          <w:fldChar w:fldCharType="end"/>
        </w:r>
      </w:hyperlink>
    </w:p>
    <w:p w14:paraId="4BCCE25F" w14:textId="2C2034BE"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78" w:history="1">
        <w:r w:rsidR="000E4E1C" w:rsidRPr="00A8413B">
          <w:rPr>
            <w:rStyle w:val="Hyperlink"/>
            <w:rFonts w:eastAsia="Times New Roman" w:cstheme="majorBidi"/>
            <w:b/>
            <w:bCs/>
            <w:iCs/>
            <w:noProof/>
            <w:kern w:val="32"/>
            <w:lang w:eastAsia="nl-NL"/>
          </w:rPr>
          <w:t>1.1.</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Informatiebeveiliging en Privacy</w:t>
        </w:r>
        <w:r w:rsidR="000E4E1C">
          <w:rPr>
            <w:noProof/>
            <w:webHidden/>
          </w:rPr>
          <w:tab/>
        </w:r>
        <w:r w:rsidR="000E4E1C">
          <w:rPr>
            <w:noProof/>
            <w:webHidden/>
          </w:rPr>
          <w:fldChar w:fldCharType="begin"/>
        </w:r>
        <w:r w:rsidR="000E4E1C">
          <w:rPr>
            <w:noProof/>
            <w:webHidden/>
          </w:rPr>
          <w:instrText xml:space="preserve"> PAGEREF _Toc144807478 \h </w:instrText>
        </w:r>
        <w:r w:rsidR="000E4E1C">
          <w:rPr>
            <w:noProof/>
            <w:webHidden/>
          </w:rPr>
        </w:r>
        <w:r w:rsidR="000E4E1C">
          <w:rPr>
            <w:noProof/>
            <w:webHidden/>
          </w:rPr>
          <w:fldChar w:fldCharType="separate"/>
        </w:r>
        <w:r w:rsidR="000E4E1C">
          <w:rPr>
            <w:noProof/>
            <w:webHidden/>
          </w:rPr>
          <w:t>3</w:t>
        </w:r>
        <w:r w:rsidR="000E4E1C">
          <w:rPr>
            <w:noProof/>
            <w:webHidden/>
          </w:rPr>
          <w:fldChar w:fldCharType="end"/>
        </w:r>
      </w:hyperlink>
    </w:p>
    <w:p w14:paraId="0E1539F2" w14:textId="44767DC8"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79" w:history="1">
        <w:r w:rsidR="000E4E1C" w:rsidRPr="00A8413B">
          <w:rPr>
            <w:rStyle w:val="Hyperlink"/>
            <w:rFonts w:eastAsia="Times New Roman" w:cstheme="majorBidi"/>
            <w:b/>
            <w:bCs/>
            <w:iCs/>
            <w:noProof/>
            <w:kern w:val="32"/>
            <w:lang w:eastAsia="nl-NL"/>
          </w:rPr>
          <w:t>1.2.</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Missie</w:t>
        </w:r>
        <w:r w:rsidR="000E4E1C">
          <w:rPr>
            <w:noProof/>
            <w:webHidden/>
          </w:rPr>
          <w:tab/>
        </w:r>
        <w:r w:rsidR="000E4E1C">
          <w:rPr>
            <w:noProof/>
            <w:webHidden/>
          </w:rPr>
          <w:fldChar w:fldCharType="begin"/>
        </w:r>
        <w:r w:rsidR="000E4E1C">
          <w:rPr>
            <w:noProof/>
            <w:webHidden/>
          </w:rPr>
          <w:instrText xml:space="preserve"> PAGEREF _Toc144807479 \h </w:instrText>
        </w:r>
        <w:r w:rsidR="000E4E1C">
          <w:rPr>
            <w:noProof/>
            <w:webHidden/>
          </w:rPr>
        </w:r>
        <w:r w:rsidR="000E4E1C">
          <w:rPr>
            <w:noProof/>
            <w:webHidden/>
          </w:rPr>
          <w:fldChar w:fldCharType="separate"/>
        </w:r>
        <w:r w:rsidR="000E4E1C">
          <w:rPr>
            <w:noProof/>
            <w:webHidden/>
          </w:rPr>
          <w:t>3</w:t>
        </w:r>
        <w:r w:rsidR="000E4E1C">
          <w:rPr>
            <w:noProof/>
            <w:webHidden/>
          </w:rPr>
          <w:fldChar w:fldCharType="end"/>
        </w:r>
      </w:hyperlink>
    </w:p>
    <w:p w14:paraId="5F5CADD0" w14:textId="6A20377D"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80" w:history="1">
        <w:r w:rsidR="000E4E1C" w:rsidRPr="00A8413B">
          <w:rPr>
            <w:rStyle w:val="Hyperlink"/>
            <w:rFonts w:eastAsia="Times New Roman" w:cstheme="majorBidi"/>
            <w:b/>
            <w:bCs/>
            <w:iCs/>
            <w:noProof/>
            <w:kern w:val="32"/>
            <w:lang w:eastAsia="nl-NL"/>
          </w:rPr>
          <w:t>1.3.</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Visie in relatie tot Informatiebeveiliging en Privacy</w:t>
        </w:r>
        <w:r w:rsidR="000E4E1C">
          <w:rPr>
            <w:noProof/>
            <w:webHidden/>
          </w:rPr>
          <w:tab/>
        </w:r>
        <w:r w:rsidR="000E4E1C">
          <w:rPr>
            <w:noProof/>
            <w:webHidden/>
          </w:rPr>
          <w:fldChar w:fldCharType="begin"/>
        </w:r>
        <w:r w:rsidR="000E4E1C">
          <w:rPr>
            <w:noProof/>
            <w:webHidden/>
          </w:rPr>
          <w:instrText xml:space="preserve"> PAGEREF _Toc144807480 \h </w:instrText>
        </w:r>
        <w:r w:rsidR="000E4E1C">
          <w:rPr>
            <w:noProof/>
            <w:webHidden/>
          </w:rPr>
        </w:r>
        <w:r w:rsidR="000E4E1C">
          <w:rPr>
            <w:noProof/>
            <w:webHidden/>
          </w:rPr>
          <w:fldChar w:fldCharType="separate"/>
        </w:r>
        <w:r w:rsidR="000E4E1C">
          <w:rPr>
            <w:noProof/>
            <w:webHidden/>
          </w:rPr>
          <w:t>3</w:t>
        </w:r>
        <w:r w:rsidR="000E4E1C">
          <w:rPr>
            <w:noProof/>
            <w:webHidden/>
          </w:rPr>
          <w:fldChar w:fldCharType="end"/>
        </w:r>
      </w:hyperlink>
    </w:p>
    <w:p w14:paraId="0184E78C" w14:textId="4EE776B1" w:rsidR="000E4E1C" w:rsidRDefault="00C144D1">
      <w:pPr>
        <w:pStyle w:val="Inhopg1"/>
        <w:rPr>
          <w:rFonts w:eastAsiaTheme="minorEastAsia" w:cstheme="minorBidi"/>
          <w:b w:val="0"/>
          <w:bCs w:val="0"/>
          <w:caps w:val="0"/>
          <w:noProof/>
          <w:sz w:val="22"/>
          <w:szCs w:val="22"/>
          <w:lang w:eastAsia="nl-NL"/>
        </w:rPr>
      </w:pPr>
      <w:hyperlink w:anchor="_Toc144807481" w:history="1">
        <w:r w:rsidR="000E4E1C" w:rsidRPr="00A8413B">
          <w:rPr>
            <w:rStyle w:val="Hyperlink"/>
            <w:rFonts w:eastAsia="Times New Roman" w:cstheme="majorBidi"/>
            <w:noProof/>
            <w:kern w:val="32"/>
          </w:rPr>
          <w:t>2.</w:t>
        </w:r>
        <w:r w:rsidR="000E4E1C">
          <w:rPr>
            <w:rFonts w:eastAsiaTheme="minorEastAsia" w:cstheme="minorBidi"/>
            <w:b w:val="0"/>
            <w:bCs w:val="0"/>
            <w:caps w:val="0"/>
            <w:noProof/>
            <w:sz w:val="22"/>
            <w:szCs w:val="22"/>
            <w:lang w:eastAsia="nl-NL"/>
          </w:rPr>
          <w:tab/>
        </w:r>
        <w:r w:rsidR="000E4E1C" w:rsidRPr="00A8413B">
          <w:rPr>
            <w:rStyle w:val="Hyperlink"/>
            <w:rFonts w:eastAsia="Times New Roman" w:cstheme="majorBidi"/>
            <w:noProof/>
            <w:kern w:val="32"/>
          </w:rPr>
          <w:t>Strategie</w:t>
        </w:r>
        <w:r w:rsidR="000E4E1C">
          <w:rPr>
            <w:noProof/>
            <w:webHidden/>
          </w:rPr>
          <w:tab/>
        </w:r>
        <w:r w:rsidR="000E4E1C">
          <w:rPr>
            <w:noProof/>
            <w:webHidden/>
          </w:rPr>
          <w:fldChar w:fldCharType="begin"/>
        </w:r>
        <w:r w:rsidR="000E4E1C">
          <w:rPr>
            <w:noProof/>
            <w:webHidden/>
          </w:rPr>
          <w:instrText xml:space="preserve"> PAGEREF _Toc144807481 \h </w:instrText>
        </w:r>
        <w:r w:rsidR="000E4E1C">
          <w:rPr>
            <w:noProof/>
            <w:webHidden/>
          </w:rPr>
        </w:r>
        <w:r w:rsidR="000E4E1C">
          <w:rPr>
            <w:noProof/>
            <w:webHidden/>
          </w:rPr>
          <w:fldChar w:fldCharType="separate"/>
        </w:r>
        <w:r w:rsidR="000E4E1C">
          <w:rPr>
            <w:noProof/>
            <w:webHidden/>
          </w:rPr>
          <w:t>4</w:t>
        </w:r>
        <w:r w:rsidR="000E4E1C">
          <w:rPr>
            <w:noProof/>
            <w:webHidden/>
          </w:rPr>
          <w:fldChar w:fldCharType="end"/>
        </w:r>
      </w:hyperlink>
    </w:p>
    <w:p w14:paraId="62B3974F" w14:textId="6448BB5A"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82" w:history="1">
        <w:r w:rsidR="000E4E1C" w:rsidRPr="00A8413B">
          <w:rPr>
            <w:rStyle w:val="Hyperlink"/>
            <w:rFonts w:eastAsia="Times New Roman" w:cstheme="majorBidi"/>
            <w:b/>
            <w:bCs/>
            <w:iCs/>
            <w:noProof/>
            <w:kern w:val="32"/>
            <w:lang w:eastAsia="nl-NL"/>
          </w:rPr>
          <w:t>2.1.</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Strategische uitgangspunten</w:t>
        </w:r>
        <w:r w:rsidR="000E4E1C">
          <w:rPr>
            <w:noProof/>
            <w:webHidden/>
          </w:rPr>
          <w:tab/>
        </w:r>
        <w:r w:rsidR="000E4E1C">
          <w:rPr>
            <w:noProof/>
            <w:webHidden/>
          </w:rPr>
          <w:fldChar w:fldCharType="begin"/>
        </w:r>
        <w:r w:rsidR="000E4E1C">
          <w:rPr>
            <w:noProof/>
            <w:webHidden/>
          </w:rPr>
          <w:instrText xml:space="preserve"> PAGEREF _Toc144807482 \h </w:instrText>
        </w:r>
        <w:r w:rsidR="000E4E1C">
          <w:rPr>
            <w:noProof/>
            <w:webHidden/>
          </w:rPr>
        </w:r>
        <w:r w:rsidR="000E4E1C">
          <w:rPr>
            <w:noProof/>
            <w:webHidden/>
          </w:rPr>
          <w:fldChar w:fldCharType="separate"/>
        </w:r>
        <w:r w:rsidR="000E4E1C">
          <w:rPr>
            <w:noProof/>
            <w:webHidden/>
          </w:rPr>
          <w:t>4</w:t>
        </w:r>
        <w:r w:rsidR="000E4E1C">
          <w:rPr>
            <w:noProof/>
            <w:webHidden/>
          </w:rPr>
          <w:fldChar w:fldCharType="end"/>
        </w:r>
      </w:hyperlink>
    </w:p>
    <w:p w14:paraId="1EC0AD69" w14:textId="5DCBAE6C"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83" w:history="1">
        <w:r w:rsidR="000E4E1C" w:rsidRPr="00A8413B">
          <w:rPr>
            <w:rStyle w:val="Hyperlink"/>
            <w:rFonts w:eastAsia="Times New Roman" w:cstheme="majorBidi"/>
            <w:b/>
            <w:bCs/>
            <w:iCs/>
            <w:noProof/>
            <w:kern w:val="32"/>
            <w:lang w:eastAsia="nl-NL"/>
          </w:rPr>
          <w:t>2.2.</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Governance</w:t>
        </w:r>
        <w:r w:rsidR="000E4E1C">
          <w:rPr>
            <w:noProof/>
            <w:webHidden/>
          </w:rPr>
          <w:tab/>
        </w:r>
        <w:r w:rsidR="000E4E1C">
          <w:rPr>
            <w:noProof/>
            <w:webHidden/>
          </w:rPr>
          <w:fldChar w:fldCharType="begin"/>
        </w:r>
        <w:r w:rsidR="000E4E1C">
          <w:rPr>
            <w:noProof/>
            <w:webHidden/>
          </w:rPr>
          <w:instrText xml:space="preserve"> PAGEREF _Toc144807483 \h </w:instrText>
        </w:r>
        <w:r w:rsidR="000E4E1C">
          <w:rPr>
            <w:noProof/>
            <w:webHidden/>
          </w:rPr>
        </w:r>
        <w:r w:rsidR="000E4E1C">
          <w:rPr>
            <w:noProof/>
            <w:webHidden/>
          </w:rPr>
          <w:fldChar w:fldCharType="separate"/>
        </w:r>
        <w:r w:rsidR="000E4E1C">
          <w:rPr>
            <w:noProof/>
            <w:webHidden/>
          </w:rPr>
          <w:t>4</w:t>
        </w:r>
        <w:r w:rsidR="000E4E1C">
          <w:rPr>
            <w:noProof/>
            <w:webHidden/>
          </w:rPr>
          <w:fldChar w:fldCharType="end"/>
        </w:r>
      </w:hyperlink>
    </w:p>
    <w:p w14:paraId="60C94FD0" w14:textId="72A69897"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84" w:history="1">
        <w:r w:rsidR="000E4E1C" w:rsidRPr="00A8413B">
          <w:rPr>
            <w:rStyle w:val="Hyperlink"/>
            <w:rFonts w:eastAsia="Times New Roman" w:cstheme="majorBidi"/>
            <w:b/>
            <w:bCs/>
            <w:iCs/>
            <w:noProof/>
            <w:kern w:val="32"/>
            <w:lang w:eastAsia="nl-NL"/>
          </w:rPr>
          <w:t>2.3.</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IBP-processen</w:t>
        </w:r>
        <w:r w:rsidR="000E4E1C">
          <w:rPr>
            <w:noProof/>
            <w:webHidden/>
          </w:rPr>
          <w:tab/>
        </w:r>
        <w:r w:rsidR="000E4E1C">
          <w:rPr>
            <w:noProof/>
            <w:webHidden/>
          </w:rPr>
          <w:fldChar w:fldCharType="begin"/>
        </w:r>
        <w:r w:rsidR="000E4E1C">
          <w:rPr>
            <w:noProof/>
            <w:webHidden/>
          </w:rPr>
          <w:instrText xml:space="preserve"> PAGEREF _Toc144807484 \h </w:instrText>
        </w:r>
        <w:r w:rsidR="000E4E1C">
          <w:rPr>
            <w:noProof/>
            <w:webHidden/>
          </w:rPr>
        </w:r>
        <w:r w:rsidR="000E4E1C">
          <w:rPr>
            <w:noProof/>
            <w:webHidden/>
          </w:rPr>
          <w:fldChar w:fldCharType="separate"/>
        </w:r>
        <w:r w:rsidR="000E4E1C">
          <w:rPr>
            <w:noProof/>
            <w:webHidden/>
          </w:rPr>
          <w:t>5</w:t>
        </w:r>
        <w:r w:rsidR="000E4E1C">
          <w:rPr>
            <w:noProof/>
            <w:webHidden/>
          </w:rPr>
          <w:fldChar w:fldCharType="end"/>
        </w:r>
      </w:hyperlink>
    </w:p>
    <w:p w14:paraId="2607C105" w14:textId="239E818A"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85" w:history="1">
        <w:r w:rsidR="000E4E1C" w:rsidRPr="00A8413B">
          <w:rPr>
            <w:rStyle w:val="Hyperlink"/>
            <w:rFonts w:eastAsia="Times New Roman" w:cstheme="majorBidi"/>
            <w:b/>
            <w:bCs/>
            <w:iCs/>
            <w:noProof/>
            <w:kern w:val="32"/>
            <w:lang w:eastAsia="nl-NL"/>
          </w:rPr>
          <w:t>2.4.</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Technische weerbaarheid</w:t>
        </w:r>
        <w:r w:rsidR="000E4E1C">
          <w:rPr>
            <w:noProof/>
            <w:webHidden/>
          </w:rPr>
          <w:tab/>
        </w:r>
        <w:r w:rsidR="000E4E1C">
          <w:rPr>
            <w:noProof/>
            <w:webHidden/>
          </w:rPr>
          <w:fldChar w:fldCharType="begin"/>
        </w:r>
        <w:r w:rsidR="000E4E1C">
          <w:rPr>
            <w:noProof/>
            <w:webHidden/>
          </w:rPr>
          <w:instrText xml:space="preserve"> PAGEREF _Toc144807485 \h </w:instrText>
        </w:r>
        <w:r w:rsidR="000E4E1C">
          <w:rPr>
            <w:noProof/>
            <w:webHidden/>
          </w:rPr>
        </w:r>
        <w:r w:rsidR="000E4E1C">
          <w:rPr>
            <w:noProof/>
            <w:webHidden/>
          </w:rPr>
          <w:fldChar w:fldCharType="separate"/>
        </w:r>
        <w:r w:rsidR="000E4E1C">
          <w:rPr>
            <w:noProof/>
            <w:webHidden/>
          </w:rPr>
          <w:t>5</w:t>
        </w:r>
        <w:r w:rsidR="000E4E1C">
          <w:rPr>
            <w:noProof/>
            <w:webHidden/>
          </w:rPr>
          <w:fldChar w:fldCharType="end"/>
        </w:r>
      </w:hyperlink>
    </w:p>
    <w:p w14:paraId="1284AA38" w14:textId="69B264D7" w:rsidR="000E4E1C" w:rsidRDefault="00C144D1">
      <w:pPr>
        <w:pStyle w:val="Inhopg2"/>
        <w:tabs>
          <w:tab w:val="left" w:pos="800"/>
          <w:tab w:val="right" w:leader="dot" w:pos="9629"/>
        </w:tabs>
        <w:rPr>
          <w:rFonts w:eastAsiaTheme="minorEastAsia" w:cstheme="minorBidi"/>
          <w:smallCaps w:val="0"/>
          <w:noProof/>
          <w:sz w:val="22"/>
          <w:szCs w:val="22"/>
          <w:lang w:eastAsia="nl-NL"/>
        </w:rPr>
      </w:pPr>
      <w:hyperlink w:anchor="_Toc144807486" w:history="1">
        <w:r w:rsidR="000E4E1C" w:rsidRPr="00A8413B">
          <w:rPr>
            <w:rStyle w:val="Hyperlink"/>
            <w:rFonts w:eastAsia="Times New Roman" w:cstheme="majorBidi"/>
            <w:b/>
            <w:bCs/>
            <w:iCs/>
            <w:noProof/>
            <w:kern w:val="32"/>
            <w:lang w:eastAsia="nl-NL"/>
          </w:rPr>
          <w:t>2.5.</w:t>
        </w:r>
        <w:r w:rsidR="000E4E1C">
          <w:rPr>
            <w:rFonts w:eastAsiaTheme="minorEastAsia" w:cstheme="minorBidi"/>
            <w:smallCaps w:val="0"/>
            <w:noProof/>
            <w:sz w:val="22"/>
            <w:szCs w:val="22"/>
            <w:lang w:eastAsia="nl-NL"/>
          </w:rPr>
          <w:tab/>
        </w:r>
        <w:r w:rsidR="000E4E1C" w:rsidRPr="00A8413B">
          <w:rPr>
            <w:rStyle w:val="Hyperlink"/>
            <w:rFonts w:eastAsia="Times New Roman" w:cstheme="majorBidi"/>
            <w:b/>
            <w:bCs/>
            <w:iCs/>
            <w:noProof/>
            <w:kern w:val="32"/>
            <w:lang w:eastAsia="nl-NL"/>
          </w:rPr>
          <w:t>Slot en vervolg</w:t>
        </w:r>
        <w:r w:rsidR="000E4E1C">
          <w:rPr>
            <w:noProof/>
            <w:webHidden/>
          </w:rPr>
          <w:tab/>
        </w:r>
        <w:r w:rsidR="000E4E1C">
          <w:rPr>
            <w:noProof/>
            <w:webHidden/>
          </w:rPr>
          <w:fldChar w:fldCharType="begin"/>
        </w:r>
        <w:r w:rsidR="000E4E1C">
          <w:rPr>
            <w:noProof/>
            <w:webHidden/>
          </w:rPr>
          <w:instrText xml:space="preserve"> PAGEREF _Toc144807486 \h </w:instrText>
        </w:r>
        <w:r w:rsidR="000E4E1C">
          <w:rPr>
            <w:noProof/>
            <w:webHidden/>
          </w:rPr>
        </w:r>
        <w:r w:rsidR="000E4E1C">
          <w:rPr>
            <w:noProof/>
            <w:webHidden/>
          </w:rPr>
          <w:fldChar w:fldCharType="separate"/>
        </w:r>
        <w:r w:rsidR="000E4E1C">
          <w:rPr>
            <w:noProof/>
            <w:webHidden/>
          </w:rPr>
          <w:t>5</w:t>
        </w:r>
        <w:r w:rsidR="000E4E1C">
          <w:rPr>
            <w:noProof/>
            <w:webHidden/>
          </w:rPr>
          <w:fldChar w:fldCharType="end"/>
        </w:r>
      </w:hyperlink>
    </w:p>
    <w:p w14:paraId="17F63D28" w14:textId="0682F22D" w:rsidR="00164498" w:rsidRPr="00C55BFD" w:rsidRDefault="00164498" w:rsidP="000E7AD3">
      <w:pPr>
        <w:ind w:right="-1"/>
        <w:contextualSpacing w:val="0"/>
        <w:jc w:val="both"/>
        <w:rPr>
          <w:rFonts w:ascii="Arial" w:eastAsiaTheme="majorEastAsia" w:hAnsi="Arial" w:cs="Arial"/>
          <w:b/>
          <w:bCs/>
          <w:color w:val="1728A9"/>
          <w:sz w:val="18"/>
          <w:szCs w:val="18"/>
          <w:lang w:eastAsia="nl-NL"/>
        </w:rPr>
      </w:pPr>
      <w:r w:rsidRPr="00C55BFD">
        <w:rPr>
          <w:rFonts w:ascii="Arial" w:eastAsiaTheme="majorEastAsia" w:hAnsi="Arial" w:cs="Arial"/>
          <w:b/>
          <w:bCs/>
          <w:color w:val="1728A9"/>
          <w:sz w:val="18"/>
          <w:szCs w:val="18"/>
          <w:lang w:eastAsia="nl-NL"/>
        </w:rPr>
        <w:fldChar w:fldCharType="end"/>
      </w:r>
    </w:p>
    <w:p w14:paraId="597346F5" w14:textId="77777777" w:rsidR="007A76A6" w:rsidRPr="007A76A6" w:rsidRDefault="00164498" w:rsidP="007A76A6">
      <w:pPr>
        <w:pStyle w:val="Kop1"/>
        <w:tabs>
          <w:tab w:val="clear" w:pos="360"/>
        </w:tabs>
        <w:ind w:left="357" w:hanging="357"/>
      </w:pPr>
      <w:r w:rsidRPr="00C55BFD">
        <w:rPr>
          <w:lang w:eastAsia="nl-NL"/>
        </w:rPr>
        <w:br w:type="page"/>
      </w:r>
      <w:bookmarkStart w:id="2" w:name="_Toc127096622"/>
      <w:bookmarkStart w:id="3" w:name="_Toc144807477"/>
      <w:r w:rsidR="007A76A6" w:rsidRPr="007A76A6">
        <w:lastRenderedPageBreak/>
        <w:t>Inleiding</w:t>
      </w:r>
      <w:bookmarkEnd w:id="2"/>
      <w:bookmarkEnd w:id="3"/>
    </w:p>
    <w:p w14:paraId="36761639" w14:textId="57F0AAC6" w:rsidR="007A76A6" w:rsidRPr="007A76A6" w:rsidRDefault="007A76A6" w:rsidP="007A76A6">
      <w:pPr>
        <w:rPr>
          <w:sz w:val="22"/>
        </w:rPr>
      </w:pPr>
      <w:r w:rsidRPr="007A76A6">
        <w:rPr>
          <w:sz w:val="22"/>
        </w:rPr>
        <w:t xml:space="preserve">Informatiebeveiliging en Privacy is geen opzichzelfstaand onderwerp. Het draagt bij aan een veilige leer- en werkomgeving en sluit daarmee aan op een groot aantal strategische uitgangspunten genoemd </w:t>
      </w:r>
      <w:r>
        <w:rPr>
          <w:color w:val="FF0000"/>
          <w:sz w:val="22"/>
        </w:rPr>
        <w:t>&lt;naam strategisch plan onderwijsinstelling&gt;</w:t>
      </w:r>
      <w:r w:rsidRPr="007A76A6">
        <w:rPr>
          <w:sz w:val="22"/>
        </w:rPr>
        <w:t>.</w:t>
      </w:r>
    </w:p>
    <w:p w14:paraId="6B3F4DCA" w14:textId="77777777" w:rsidR="007A76A6" w:rsidRPr="007A76A6" w:rsidRDefault="007A76A6" w:rsidP="007A76A6">
      <w:pPr>
        <w:spacing w:after="160" w:line="259" w:lineRule="auto"/>
        <w:contextualSpacing w:val="0"/>
        <w:rPr>
          <w:rFonts w:asciiTheme="minorHAnsi" w:hAnsiTheme="minorHAnsi" w:cstheme="minorHAnsi"/>
          <w:sz w:val="22"/>
          <w:szCs w:val="22"/>
        </w:rPr>
      </w:pPr>
      <w:r w:rsidRPr="007A76A6">
        <w:rPr>
          <w:rFonts w:asciiTheme="minorHAnsi" w:hAnsiTheme="minorHAnsi" w:cstheme="minorHAnsi"/>
          <w:sz w:val="22"/>
          <w:szCs w:val="22"/>
        </w:rPr>
        <w:t>Onze organisatie werkt veel met waardevolle en vertrouwelijke informatie en met de voortdurende ontwikkelingen op digitaal gebied is Informatiebeveiliging en Privacy een breed en complex onderwerp geworden. Het werken vanuit een visie en strategische uitgangspunten voor Informatiebeveiliging en Privacy is daarom noodzakelijk om aantoonbaar te groeien naar een professionele en veilige manier van omgaan met de beschikbaar gestelde informatie.</w:t>
      </w:r>
    </w:p>
    <w:p w14:paraId="76982A5A" w14:textId="463CF09A" w:rsidR="007A76A6" w:rsidRPr="007A76A6" w:rsidRDefault="007A76A6" w:rsidP="007A76A6">
      <w:pPr>
        <w:spacing w:after="160" w:line="259" w:lineRule="auto"/>
        <w:contextualSpacing w:val="0"/>
        <w:rPr>
          <w:rFonts w:asciiTheme="minorHAnsi" w:hAnsiTheme="minorHAnsi" w:cstheme="minorHAnsi"/>
          <w:sz w:val="22"/>
          <w:szCs w:val="22"/>
        </w:rPr>
      </w:pPr>
      <w:r w:rsidRPr="007A76A6">
        <w:rPr>
          <w:rFonts w:asciiTheme="minorHAnsi" w:hAnsiTheme="minorHAnsi" w:cstheme="minorHAnsi"/>
          <w:sz w:val="22"/>
          <w:szCs w:val="22"/>
        </w:rPr>
        <w:t xml:space="preserve">Dit document geeft binnen de context van de door </w:t>
      </w:r>
      <w:r>
        <w:rPr>
          <w:rFonts w:asciiTheme="minorHAnsi" w:hAnsiTheme="minorHAnsi" w:cstheme="minorHAnsi"/>
          <w:sz w:val="22"/>
          <w:szCs w:val="22"/>
        </w:rPr>
        <w:t>Security Nederland</w:t>
      </w:r>
      <w:r w:rsidRPr="007A76A6">
        <w:rPr>
          <w:rFonts w:asciiTheme="minorHAnsi" w:hAnsiTheme="minorHAnsi" w:cstheme="minorHAnsi"/>
          <w:sz w:val="22"/>
          <w:szCs w:val="22"/>
        </w:rPr>
        <w:t xml:space="preserve"> benoemde strategische richting een basis om concreet en planmatig aan de slag te gaan met Informatiebeveiliging en Privacy.</w:t>
      </w:r>
    </w:p>
    <w:p w14:paraId="469DB528" w14:textId="77777777" w:rsidR="007A76A6" w:rsidRPr="007A76A6" w:rsidRDefault="007A76A6"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4" w:name="_Toc127096623"/>
      <w:bookmarkStart w:id="5" w:name="_Toc144807478"/>
      <w:r w:rsidRPr="007A76A6">
        <w:rPr>
          <w:rFonts w:eastAsia="Times New Roman" w:cstheme="majorBidi"/>
          <w:b/>
          <w:bCs/>
          <w:iCs/>
          <w:color w:val="0070C0"/>
          <w:kern w:val="32"/>
          <w:sz w:val="24"/>
          <w:szCs w:val="32"/>
          <w:lang w:eastAsia="nl-NL"/>
        </w:rPr>
        <w:t>Informatiebeveiliging en Privacy</w:t>
      </w:r>
      <w:bookmarkEnd w:id="4"/>
      <w:bookmarkEnd w:id="5"/>
    </w:p>
    <w:p w14:paraId="2B3BA01E" w14:textId="0020B1AD" w:rsidR="007A76A6" w:rsidRPr="007A76A6" w:rsidRDefault="007A76A6" w:rsidP="007A76A6">
      <w:pPr>
        <w:rPr>
          <w:sz w:val="22"/>
        </w:rPr>
      </w:pPr>
      <w:r w:rsidRPr="007A76A6">
        <w:rPr>
          <w:sz w:val="22"/>
        </w:rPr>
        <w:t xml:space="preserve">Informatiebeveiliging en Privacy staat voor beveiliging van waardevolle informatie (Security) en bescherming van persoonsgegevens (Privacy). </w:t>
      </w:r>
      <w:r>
        <w:rPr>
          <w:sz w:val="22"/>
        </w:rPr>
        <w:t>Security Nederland</w:t>
      </w:r>
      <w:r w:rsidRPr="007A76A6">
        <w:rPr>
          <w:sz w:val="22"/>
        </w:rPr>
        <w:t xml:space="preserve"> draagt hierin een grote verantwoordelijkheid.</w:t>
      </w:r>
    </w:p>
    <w:p w14:paraId="297A578C" w14:textId="77777777" w:rsidR="007A76A6" w:rsidRPr="007A76A6" w:rsidRDefault="007A76A6" w:rsidP="007A76A6">
      <w:pPr>
        <w:rPr>
          <w:sz w:val="22"/>
        </w:rPr>
      </w:pPr>
      <w:r w:rsidRPr="007A76A6">
        <w:rPr>
          <w:sz w:val="22"/>
        </w:rPr>
        <w:t>Beschikbaarheid, Integriteit en Vertrouwelijkheid van de informatie zijn kernbegrippen.</w:t>
      </w:r>
    </w:p>
    <w:p w14:paraId="557D559F" w14:textId="77777777" w:rsidR="007A76A6" w:rsidRPr="007A76A6" w:rsidRDefault="007A76A6" w:rsidP="007A76A6">
      <w:pPr>
        <w:rPr>
          <w:sz w:val="22"/>
        </w:rPr>
      </w:pPr>
      <w:r w:rsidRPr="007A76A6">
        <w:rPr>
          <w:sz w:val="22"/>
        </w:rPr>
        <w:t>Informatiebeveiliging en Privacy is essentieel voor:</w:t>
      </w:r>
    </w:p>
    <w:p w14:paraId="444AA4B4" w14:textId="39A61E83" w:rsidR="007A76A6" w:rsidRPr="007A76A6" w:rsidRDefault="007A76A6" w:rsidP="007A76A6">
      <w:pPr>
        <w:widowControl w:val="0"/>
        <w:numPr>
          <w:ilvl w:val="0"/>
          <w:numId w:val="7"/>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De continuïteit van het onderwijsproces;</w:t>
      </w:r>
    </w:p>
    <w:p w14:paraId="7E9D7576" w14:textId="12E1DD93" w:rsidR="007A76A6" w:rsidRPr="007A76A6" w:rsidRDefault="007A76A6" w:rsidP="007A76A6">
      <w:pPr>
        <w:widowControl w:val="0"/>
        <w:numPr>
          <w:ilvl w:val="0"/>
          <w:numId w:val="7"/>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Kwalitatief hoogwaardig onderwijs;</w:t>
      </w:r>
    </w:p>
    <w:p w14:paraId="79B03B88" w14:textId="15B3B73B" w:rsidR="007A76A6" w:rsidRPr="007A76A6" w:rsidRDefault="007A76A6" w:rsidP="007A76A6">
      <w:pPr>
        <w:widowControl w:val="0"/>
        <w:numPr>
          <w:ilvl w:val="0"/>
          <w:numId w:val="7"/>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Een veilige leer- en werkomgeving.</w:t>
      </w:r>
    </w:p>
    <w:p w14:paraId="78E8C06C" w14:textId="77777777" w:rsidR="007A76A6" w:rsidRPr="007A76A6" w:rsidRDefault="007A76A6" w:rsidP="007A76A6">
      <w:pPr>
        <w:rPr>
          <w:sz w:val="22"/>
        </w:rPr>
      </w:pPr>
    </w:p>
    <w:p w14:paraId="142ADE5B" w14:textId="011C451A" w:rsidR="007A76A6" w:rsidRPr="007A76A6" w:rsidRDefault="007A76A6" w:rsidP="007A76A6">
      <w:pPr>
        <w:rPr>
          <w:sz w:val="22"/>
        </w:rPr>
      </w:pPr>
      <w:r w:rsidRPr="007A76A6">
        <w:rPr>
          <w:sz w:val="22"/>
        </w:rPr>
        <w:t xml:space="preserve">Informatiebeveiliging en Privacy is geen doel op zich maar draagt bij aan de volgende strategische uitgangspunten van </w:t>
      </w:r>
      <w:r>
        <w:rPr>
          <w:sz w:val="22"/>
        </w:rPr>
        <w:t>Security Nederland</w:t>
      </w:r>
      <w:r w:rsidRPr="007A76A6">
        <w:rPr>
          <w:sz w:val="22"/>
        </w:rPr>
        <w:t>:</w:t>
      </w:r>
    </w:p>
    <w:p w14:paraId="4BA10AEC" w14:textId="67CB3542" w:rsidR="007A76A6" w:rsidRPr="007A76A6" w:rsidRDefault="007A76A6" w:rsidP="007A76A6">
      <w:pPr>
        <w:widowControl w:val="0"/>
        <w:numPr>
          <w:ilvl w:val="0"/>
          <w:numId w:val="8"/>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Toekomstbestendig onderwijs;</w:t>
      </w:r>
    </w:p>
    <w:p w14:paraId="7C2CCC9C" w14:textId="67F5A6DD" w:rsidR="007A76A6" w:rsidRPr="007A76A6" w:rsidRDefault="007A76A6" w:rsidP="007A76A6">
      <w:pPr>
        <w:widowControl w:val="0"/>
        <w:numPr>
          <w:ilvl w:val="0"/>
          <w:numId w:val="8"/>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Professionele (onderwijs)organisatie;</w:t>
      </w:r>
    </w:p>
    <w:p w14:paraId="5DB26472" w14:textId="263DE60E" w:rsidR="007A76A6" w:rsidRPr="007A76A6" w:rsidRDefault="007A76A6" w:rsidP="007A76A6">
      <w:pPr>
        <w:widowControl w:val="0"/>
        <w:numPr>
          <w:ilvl w:val="0"/>
          <w:numId w:val="8"/>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Intrinsieke leer- en verbetercultuur;</w:t>
      </w:r>
    </w:p>
    <w:p w14:paraId="1FC45949" w14:textId="757CD49E" w:rsidR="007A76A6" w:rsidRPr="007A76A6" w:rsidRDefault="007A76A6" w:rsidP="007A76A6">
      <w:pPr>
        <w:widowControl w:val="0"/>
        <w:numPr>
          <w:ilvl w:val="0"/>
          <w:numId w:val="8"/>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Een sterke organisatie.</w:t>
      </w:r>
    </w:p>
    <w:p w14:paraId="4AA20043" w14:textId="77777777" w:rsidR="007A76A6" w:rsidRPr="007A76A6" w:rsidRDefault="007A76A6" w:rsidP="007A76A6">
      <w:pPr>
        <w:rPr>
          <w:sz w:val="22"/>
        </w:rPr>
      </w:pPr>
    </w:p>
    <w:p w14:paraId="43F0F3C4" w14:textId="77777777" w:rsidR="007A76A6" w:rsidRPr="007A76A6" w:rsidRDefault="007A76A6"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6" w:name="_Toc127096624"/>
      <w:bookmarkStart w:id="7" w:name="_Toc144807479"/>
      <w:r w:rsidRPr="007A76A6">
        <w:rPr>
          <w:rFonts w:eastAsia="Times New Roman" w:cstheme="majorBidi"/>
          <w:b/>
          <w:bCs/>
          <w:iCs/>
          <w:color w:val="0070C0"/>
          <w:kern w:val="32"/>
          <w:sz w:val="24"/>
          <w:szCs w:val="32"/>
          <w:lang w:eastAsia="nl-NL"/>
        </w:rPr>
        <w:t>Missie</w:t>
      </w:r>
      <w:bookmarkEnd w:id="6"/>
      <w:bookmarkEnd w:id="7"/>
    </w:p>
    <w:p w14:paraId="43F5B440" w14:textId="436B9047" w:rsidR="007A76A6" w:rsidRPr="007A76A6" w:rsidRDefault="007A76A6" w:rsidP="007A76A6">
      <w:pPr>
        <w:contextualSpacing w:val="0"/>
        <w:rPr>
          <w:b/>
          <w:bCs/>
          <w:iCs/>
          <w:color w:val="FF0000"/>
          <w:sz w:val="22"/>
          <w:szCs w:val="22"/>
        </w:rPr>
      </w:pPr>
      <w:r>
        <w:rPr>
          <w:sz w:val="22"/>
          <w:szCs w:val="22"/>
        </w:rPr>
        <w:t>Security Nederland</w:t>
      </w:r>
      <w:r w:rsidRPr="007A76A6">
        <w:rPr>
          <w:sz w:val="22"/>
          <w:szCs w:val="22"/>
        </w:rPr>
        <w:t xml:space="preserve"> levert een bijdrage </w:t>
      </w:r>
      <w:r>
        <w:rPr>
          <w:color w:val="FF0000"/>
          <w:sz w:val="22"/>
          <w:szCs w:val="22"/>
        </w:rPr>
        <w:t>&lt;benoem missie zoals, bijvoorbeeld, vermeld op de website van Security Nederland&gt;.</w:t>
      </w:r>
    </w:p>
    <w:p w14:paraId="4410CAAD" w14:textId="77777777" w:rsidR="007A76A6" w:rsidRPr="007A76A6" w:rsidRDefault="007A76A6" w:rsidP="007A76A6">
      <w:pPr>
        <w:rPr>
          <w:sz w:val="22"/>
        </w:rPr>
      </w:pPr>
    </w:p>
    <w:p w14:paraId="533C1701" w14:textId="77777777" w:rsidR="007A76A6" w:rsidRPr="007A76A6" w:rsidRDefault="007A76A6"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8" w:name="_Toc127096625"/>
      <w:bookmarkStart w:id="9" w:name="_Toc144807480"/>
      <w:r w:rsidRPr="007A76A6">
        <w:rPr>
          <w:rFonts w:eastAsia="Times New Roman" w:cstheme="majorBidi"/>
          <w:b/>
          <w:bCs/>
          <w:iCs/>
          <w:color w:val="0070C0"/>
          <w:kern w:val="32"/>
          <w:sz w:val="24"/>
          <w:szCs w:val="32"/>
          <w:lang w:eastAsia="nl-NL"/>
        </w:rPr>
        <w:t>Visie in relatie tot Informatiebeveiliging en Privacy</w:t>
      </w:r>
      <w:bookmarkEnd w:id="8"/>
      <w:bookmarkEnd w:id="9"/>
    </w:p>
    <w:p w14:paraId="434B5821" w14:textId="75F002B7" w:rsidR="007A76A6" w:rsidRPr="007A76A6" w:rsidRDefault="007A76A6" w:rsidP="007A76A6">
      <w:pPr>
        <w:spacing w:after="160" w:line="259" w:lineRule="auto"/>
        <w:contextualSpacing w:val="0"/>
        <w:rPr>
          <w:rFonts w:asciiTheme="minorHAnsi" w:hAnsiTheme="minorHAnsi" w:cstheme="minorHAnsi"/>
          <w:sz w:val="22"/>
          <w:szCs w:val="22"/>
        </w:rPr>
      </w:pPr>
      <w:r>
        <w:rPr>
          <w:rFonts w:asciiTheme="minorHAnsi" w:hAnsiTheme="minorHAnsi" w:cstheme="minorHAnsi"/>
          <w:sz w:val="22"/>
          <w:szCs w:val="22"/>
        </w:rPr>
        <w:t>Security Nederland</w:t>
      </w:r>
      <w:r w:rsidRPr="007A76A6">
        <w:rPr>
          <w:rFonts w:asciiTheme="minorHAnsi" w:hAnsiTheme="minorHAnsi" w:cstheme="minorHAnsi"/>
          <w:sz w:val="22"/>
          <w:szCs w:val="22"/>
        </w:rPr>
        <w:t xml:space="preserve"> wil een veilige en professionele leer- en werkomgeving aanbieden en daarbij is het noodzakelijk dat de door </w:t>
      </w:r>
      <w:r>
        <w:rPr>
          <w:rFonts w:asciiTheme="minorHAnsi" w:hAnsiTheme="minorHAnsi" w:cstheme="minorHAnsi"/>
          <w:sz w:val="22"/>
          <w:szCs w:val="22"/>
        </w:rPr>
        <w:t>Security Nederland</w:t>
      </w:r>
      <w:r w:rsidRPr="007A76A6">
        <w:rPr>
          <w:rFonts w:asciiTheme="minorHAnsi" w:hAnsiTheme="minorHAnsi" w:cstheme="minorHAnsi"/>
          <w:sz w:val="22"/>
          <w:szCs w:val="22"/>
        </w:rPr>
        <w:t xml:space="preserve"> verzamelde, verwerkte en gepubliceerde informatie te allen tijde beschikbaar, correct en beschermd is. Dit vraagt om een strategisch samenhangende aanpak van Informatiebeveiliging en Privacy, die aantoonbaar aan de eisen voldoet, om blijvend een veilige en toekomstbestendige leer- en werkomgeving beschikbaar te stellen.</w:t>
      </w:r>
    </w:p>
    <w:p w14:paraId="7DCAA5C2" w14:textId="77777777" w:rsidR="007A76A6" w:rsidRDefault="007A76A6">
      <w:pPr>
        <w:contextualSpacing w:val="0"/>
        <w:rPr>
          <w:rFonts w:eastAsia="Times New Roman" w:cstheme="majorBidi"/>
          <w:b/>
          <w:bCs/>
          <w:color w:val="0070C0"/>
          <w:kern w:val="32"/>
          <w:sz w:val="48"/>
          <w:szCs w:val="32"/>
        </w:rPr>
      </w:pPr>
      <w:bookmarkStart w:id="10" w:name="_Toc127096626"/>
      <w:r>
        <w:rPr>
          <w:rFonts w:eastAsia="Times New Roman" w:cstheme="majorBidi"/>
          <w:b/>
          <w:bCs/>
          <w:color w:val="0070C0"/>
          <w:kern w:val="32"/>
          <w:sz w:val="48"/>
          <w:szCs w:val="32"/>
        </w:rPr>
        <w:br w:type="page"/>
      </w:r>
    </w:p>
    <w:p w14:paraId="3C80D0DE" w14:textId="50F5B918" w:rsidR="007A76A6" w:rsidRPr="007A76A6" w:rsidRDefault="007A76A6" w:rsidP="007A76A6">
      <w:pPr>
        <w:keepNext/>
        <w:numPr>
          <w:ilvl w:val="0"/>
          <w:numId w:val="2"/>
        </w:numPr>
        <w:spacing w:before="360" w:after="480"/>
        <w:ind w:left="357" w:hanging="357"/>
        <w:contextualSpacing w:val="0"/>
        <w:outlineLvl w:val="0"/>
        <w:rPr>
          <w:rFonts w:eastAsia="Times New Roman" w:cstheme="majorBidi"/>
          <w:b/>
          <w:bCs/>
          <w:color w:val="0070C0"/>
          <w:kern w:val="32"/>
          <w:sz w:val="48"/>
          <w:szCs w:val="32"/>
        </w:rPr>
      </w:pPr>
      <w:bookmarkStart w:id="11" w:name="_Toc144807481"/>
      <w:r w:rsidRPr="007A76A6">
        <w:rPr>
          <w:rFonts w:eastAsia="Times New Roman" w:cstheme="majorBidi"/>
          <w:b/>
          <w:bCs/>
          <w:color w:val="0070C0"/>
          <w:kern w:val="32"/>
          <w:sz w:val="48"/>
          <w:szCs w:val="32"/>
        </w:rPr>
        <w:lastRenderedPageBreak/>
        <w:t>Strategie</w:t>
      </w:r>
      <w:bookmarkEnd w:id="10"/>
      <w:bookmarkEnd w:id="11"/>
    </w:p>
    <w:p w14:paraId="3B77516F" w14:textId="77777777" w:rsidR="007A76A6" w:rsidRDefault="007A76A6" w:rsidP="007A76A6">
      <w:pPr>
        <w:spacing w:after="160" w:line="259" w:lineRule="auto"/>
        <w:contextualSpacing w:val="0"/>
        <w:rPr>
          <w:rFonts w:asciiTheme="minorHAnsi" w:hAnsiTheme="minorHAnsi" w:cstheme="minorHAnsi"/>
          <w:i/>
          <w:iCs/>
          <w:color w:val="FF0000"/>
          <w:sz w:val="22"/>
          <w:szCs w:val="22"/>
        </w:rPr>
      </w:pPr>
      <w:r>
        <w:rPr>
          <w:rFonts w:asciiTheme="minorHAnsi" w:hAnsiTheme="minorHAnsi" w:cstheme="minorHAnsi"/>
          <w:i/>
          <w:iCs/>
          <w:color w:val="FF0000"/>
          <w:sz w:val="22"/>
          <w:szCs w:val="22"/>
        </w:rPr>
        <w:t>BIJVOORBEELD:</w:t>
      </w:r>
    </w:p>
    <w:p w14:paraId="34D99730" w14:textId="37B525C9" w:rsidR="007A76A6" w:rsidRPr="007A76A6" w:rsidRDefault="007A76A6" w:rsidP="007A76A6">
      <w:pPr>
        <w:spacing w:after="160" w:line="259" w:lineRule="auto"/>
        <w:contextualSpacing w:val="0"/>
        <w:rPr>
          <w:rFonts w:asciiTheme="minorHAnsi" w:hAnsiTheme="minorHAnsi" w:cstheme="minorHAnsi"/>
          <w:i/>
          <w:iCs/>
          <w:color w:val="FF0000"/>
          <w:sz w:val="22"/>
          <w:szCs w:val="22"/>
        </w:rPr>
      </w:pPr>
      <w:r w:rsidRPr="007A76A6">
        <w:rPr>
          <w:rFonts w:asciiTheme="minorHAnsi" w:hAnsiTheme="minorHAnsi" w:cstheme="minorHAnsi"/>
          <w:i/>
          <w:iCs/>
          <w:color w:val="FF0000"/>
          <w:sz w:val="22"/>
          <w:szCs w:val="22"/>
        </w:rPr>
        <w:t xml:space="preserve">Naar aanleiding van enkele steekwoorden uit het Instellingsplan 2023-2026. (Nooit af, Individualisering, Leven Lang ontwikkelen, </w:t>
      </w:r>
      <w:proofErr w:type="spellStart"/>
      <w:r w:rsidRPr="007A76A6">
        <w:rPr>
          <w:rFonts w:asciiTheme="minorHAnsi" w:hAnsiTheme="minorHAnsi" w:cstheme="minorHAnsi"/>
          <w:i/>
          <w:iCs/>
          <w:color w:val="FF0000"/>
          <w:sz w:val="22"/>
          <w:szCs w:val="22"/>
        </w:rPr>
        <w:t>Blended</w:t>
      </w:r>
      <w:proofErr w:type="spellEnd"/>
      <w:r w:rsidRPr="007A76A6">
        <w:rPr>
          <w:rFonts w:asciiTheme="minorHAnsi" w:hAnsiTheme="minorHAnsi" w:cstheme="minorHAnsi"/>
          <w:i/>
          <w:iCs/>
          <w:color w:val="FF0000"/>
          <w:sz w:val="22"/>
          <w:szCs w:val="22"/>
        </w:rPr>
        <w:t xml:space="preserve"> en hybride leren en De kwaliteitslat steeds hoger) wil de Security Nederland groeien naar een professionele organisatie, waar op een veilige manier onderwijs verzorgd en ondersteund kan worden.</w:t>
      </w:r>
    </w:p>
    <w:p w14:paraId="1A89CB4E" w14:textId="532BB0AD" w:rsidR="007A76A6" w:rsidRPr="007A76A6" w:rsidRDefault="007A76A6" w:rsidP="007A76A6">
      <w:pPr>
        <w:spacing w:after="160" w:line="259" w:lineRule="auto"/>
        <w:contextualSpacing w:val="0"/>
        <w:rPr>
          <w:rFonts w:asciiTheme="minorHAnsi" w:hAnsiTheme="minorHAnsi" w:cstheme="minorHAnsi"/>
          <w:i/>
          <w:iCs/>
          <w:color w:val="FF0000"/>
          <w:sz w:val="22"/>
          <w:szCs w:val="22"/>
        </w:rPr>
      </w:pPr>
      <w:r w:rsidRPr="007A76A6">
        <w:rPr>
          <w:rFonts w:asciiTheme="minorHAnsi" w:hAnsiTheme="minorHAnsi" w:cstheme="minorHAnsi"/>
          <w:i/>
          <w:iCs/>
          <w:color w:val="FF0000"/>
          <w:sz w:val="22"/>
          <w:szCs w:val="22"/>
        </w:rPr>
        <w:t xml:space="preserve">In aansluiting hierop wil Security Nederland met een strategische aanpak op het gebied van Informatiebeveiliging en Privacy groeien naar een professioneel volwassen organisatie, waar op een veilige manier met informatie wordt omgegaan. </w:t>
      </w:r>
    </w:p>
    <w:p w14:paraId="33493206" w14:textId="1B2889B8" w:rsidR="007A76A6" w:rsidRPr="007A76A6" w:rsidRDefault="007A76A6" w:rsidP="007A76A6">
      <w:pPr>
        <w:spacing w:after="160" w:line="259" w:lineRule="auto"/>
        <w:contextualSpacing w:val="0"/>
        <w:rPr>
          <w:rFonts w:asciiTheme="minorHAnsi" w:hAnsiTheme="minorHAnsi" w:cstheme="minorHAnsi"/>
          <w:i/>
          <w:iCs/>
          <w:color w:val="FF0000"/>
          <w:sz w:val="22"/>
          <w:szCs w:val="22"/>
        </w:rPr>
      </w:pPr>
      <w:r w:rsidRPr="007A76A6">
        <w:rPr>
          <w:rFonts w:asciiTheme="minorHAnsi" w:hAnsiTheme="minorHAnsi" w:cstheme="minorHAnsi"/>
          <w:i/>
          <w:iCs/>
          <w:color w:val="FF0000"/>
          <w:sz w:val="22"/>
          <w:szCs w:val="22"/>
        </w:rPr>
        <w:t>Deze strategie is richtinggevend en sluit aan bij de bovengenoemde uitgangspunten van Security Nederland, genoemd in het Instellingsplan 2023-2026.</w:t>
      </w:r>
    </w:p>
    <w:p w14:paraId="1A10DCFC" w14:textId="77777777" w:rsidR="007A76A6" w:rsidRPr="007A76A6" w:rsidRDefault="007A76A6"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12" w:name="_Toc127096627"/>
      <w:bookmarkStart w:id="13" w:name="_Toc144807482"/>
      <w:r w:rsidRPr="007A76A6">
        <w:rPr>
          <w:rFonts w:eastAsia="Times New Roman" w:cstheme="majorBidi"/>
          <w:b/>
          <w:bCs/>
          <w:iCs/>
          <w:color w:val="0070C0"/>
          <w:kern w:val="32"/>
          <w:sz w:val="24"/>
          <w:szCs w:val="32"/>
          <w:lang w:eastAsia="nl-NL"/>
        </w:rPr>
        <w:t>Strategische uitgangspunten</w:t>
      </w:r>
      <w:bookmarkEnd w:id="12"/>
      <w:bookmarkEnd w:id="13"/>
    </w:p>
    <w:p w14:paraId="13FA69FE" w14:textId="77777777" w:rsidR="007A76A6" w:rsidRPr="007A76A6" w:rsidRDefault="007A76A6" w:rsidP="007A76A6">
      <w:pPr>
        <w:rPr>
          <w:sz w:val="22"/>
        </w:rPr>
      </w:pPr>
      <w:r w:rsidRPr="007A76A6">
        <w:rPr>
          <w:sz w:val="22"/>
        </w:rPr>
        <w:t>Met betrekking tot Informatiebeveiliging en Privacy onderscheiden we 3 aandachtsgebieden:</w:t>
      </w:r>
    </w:p>
    <w:p w14:paraId="08C102D4" w14:textId="77777777" w:rsidR="007A76A6" w:rsidRPr="007A76A6" w:rsidRDefault="007A76A6" w:rsidP="007A76A6">
      <w:pPr>
        <w:widowControl w:val="0"/>
        <w:numPr>
          <w:ilvl w:val="0"/>
          <w:numId w:val="9"/>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Governance</w:t>
      </w:r>
    </w:p>
    <w:p w14:paraId="6F96326A" w14:textId="77777777" w:rsidR="007A76A6" w:rsidRPr="007A76A6" w:rsidRDefault="007A76A6" w:rsidP="007A76A6">
      <w:pPr>
        <w:widowControl w:val="0"/>
        <w:numPr>
          <w:ilvl w:val="0"/>
          <w:numId w:val="9"/>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Processen</w:t>
      </w:r>
    </w:p>
    <w:p w14:paraId="7018FD92" w14:textId="77777777" w:rsidR="007A76A6" w:rsidRPr="007A76A6" w:rsidRDefault="007A76A6" w:rsidP="007A76A6">
      <w:pPr>
        <w:widowControl w:val="0"/>
        <w:numPr>
          <w:ilvl w:val="0"/>
          <w:numId w:val="9"/>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Technische Weerbaarheid</w:t>
      </w:r>
    </w:p>
    <w:p w14:paraId="09C4CDFE" w14:textId="77777777" w:rsidR="007A76A6" w:rsidRPr="007A76A6" w:rsidRDefault="007A76A6" w:rsidP="007A76A6">
      <w:pPr>
        <w:rPr>
          <w:sz w:val="22"/>
        </w:rPr>
      </w:pPr>
      <w:r w:rsidRPr="007A76A6">
        <w:rPr>
          <w:sz w:val="22"/>
        </w:rPr>
        <w:t>Hiermee hebben we het volgende op het oog:</w:t>
      </w:r>
    </w:p>
    <w:p w14:paraId="5E1F37CD" w14:textId="77777777" w:rsidR="007A76A6" w:rsidRPr="007A76A6" w:rsidRDefault="007A76A6" w:rsidP="007A76A6">
      <w:pPr>
        <w:widowControl w:val="0"/>
        <w:numPr>
          <w:ilvl w:val="0"/>
          <w:numId w:val="10"/>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Iedere medewerker is verantwoordelijk voor de veiligheid van de informatie die door de organisatie beschikbaar wordt gesteld.</w:t>
      </w:r>
    </w:p>
    <w:p w14:paraId="6EACABF4" w14:textId="6D0B1872" w:rsidR="007A76A6" w:rsidRPr="007A76A6" w:rsidRDefault="007A76A6" w:rsidP="007A76A6">
      <w:pPr>
        <w:widowControl w:val="0"/>
        <w:numPr>
          <w:ilvl w:val="0"/>
          <w:numId w:val="10"/>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 xml:space="preserve">Alle leidinggevenden binnen </w:t>
      </w:r>
      <w:r>
        <w:rPr>
          <w:rFonts w:asciiTheme="minorHAnsi" w:eastAsiaTheme="minorHAnsi" w:hAnsiTheme="minorHAnsi" w:cstheme="minorBidi"/>
          <w:sz w:val="22"/>
          <w:szCs w:val="22"/>
        </w:rPr>
        <w:t>Security Nederland</w:t>
      </w:r>
      <w:r w:rsidRPr="007A76A6">
        <w:rPr>
          <w:rFonts w:asciiTheme="minorHAnsi" w:eastAsiaTheme="minorHAnsi" w:hAnsiTheme="minorHAnsi" w:cstheme="minorBidi"/>
          <w:sz w:val="22"/>
          <w:szCs w:val="22"/>
        </w:rPr>
        <w:t xml:space="preserve"> zien erop toe dat hun medewerkers voldoende geschoold zijn en het Informatiebeveiliging en Privacy beleid naleven. </w:t>
      </w:r>
    </w:p>
    <w:p w14:paraId="714DB2D6" w14:textId="77777777" w:rsidR="007A76A6" w:rsidRPr="007A76A6" w:rsidRDefault="007A76A6" w:rsidP="007A76A6">
      <w:pPr>
        <w:widowControl w:val="0"/>
        <w:numPr>
          <w:ilvl w:val="0"/>
          <w:numId w:val="10"/>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Het College van Bestuur is eindverantwoordelijk en moet verantwoording kunnen afleggen aan, bijvoorbeeld, de Raad van Toezicht.</w:t>
      </w:r>
    </w:p>
    <w:p w14:paraId="4CD2BE0B" w14:textId="77777777" w:rsidR="007A76A6" w:rsidRPr="007A76A6" w:rsidRDefault="007A76A6" w:rsidP="007A76A6">
      <w:pPr>
        <w:widowControl w:val="0"/>
        <w:numPr>
          <w:ilvl w:val="0"/>
          <w:numId w:val="10"/>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Proceseigenaren zijn benoemd en zijn bewust van hun verantwoordelijkheid bij de uitvoer van processen waar Informatiebeveiliging en Privacy een belangrijke rol speelt.</w:t>
      </w:r>
    </w:p>
    <w:p w14:paraId="4BD1810A" w14:textId="77777777" w:rsidR="007A76A6" w:rsidRPr="007A76A6" w:rsidRDefault="007A76A6" w:rsidP="007A76A6">
      <w:pPr>
        <w:widowControl w:val="0"/>
        <w:numPr>
          <w:ilvl w:val="0"/>
          <w:numId w:val="10"/>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IT is verantwoordelijk voor de technische weerbaarheid.</w:t>
      </w:r>
    </w:p>
    <w:p w14:paraId="3F503CB1" w14:textId="77777777" w:rsidR="007A76A6" w:rsidRPr="007A76A6" w:rsidRDefault="007A76A6" w:rsidP="007A76A6">
      <w:pPr>
        <w:widowControl w:val="0"/>
        <w:ind w:left="720"/>
        <w:contextualSpacing w:val="0"/>
        <w:rPr>
          <w:rFonts w:asciiTheme="minorHAnsi" w:eastAsiaTheme="minorHAnsi" w:hAnsiTheme="minorHAnsi" w:cstheme="minorBidi"/>
          <w:sz w:val="22"/>
          <w:szCs w:val="22"/>
        </w:rPr>
      </w:pPr>
    </w:p>
    <w:p w14:paraId="043526E6" w14:textId="77777777" w:rsidR="007A76A6" w:rsidRPr="007A76A6" w:rsidRDefault="007A76A6"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14" w:name="_Toc127096628"/>
      <w:bookmarkStart w:id="15" w:name="_Toc144807483"/>
      <w:r w:rsidRPr="007A76A6">
        <w:rPr>
          <w:rFonts w:eastAsia="Times New Roman" w:cstheme="majorBidi"/>
          <w:b/>
          <w:bCs/>
          <w:iCs/>
          <w:color w:val="0070C0"/>
          <w:kern w:val="32"/>
          <w:sz w:val="24"/>
          <w:szCs w:val="32"/>
          <w:lang w:eastAsia="nl-NL"/>
        </w:rPr>
        <w:t>Governance</w:t>
      </w:r>
      <w:bookmarkEnd w:id="14"/>
      <w:bookmarkEnd w:id="15"/>
    </w:p>
    <w:p w14:paraId="0621FBCE" w14:textId="77777777" w:rsidR="007A76A6" w:rsidRPr="007A76A6" w:rsidRDefault="007A76A6" w:rsidP="007A76A6">
      <w:pPr>
        <w:rPr>
          <w:sz w:val="22"/>
        </w:rPr>
      </w:pPr>
      <w:r w:rsidRPr="007A76A6">
        <w:rPr>
          <w:sz w:val="22"/>
        </w:rPr>
        <w:t>De Governance gaat over het “wat en wie en met welk doel” en is gericht op de volgende thema’s:</w:t>
      </w:r>
    </w:p>
    <w:p w14:paraId="60C5D4CB" w14:textId="77777777" w:rsidR="007A76A6" w:rsidRPr="007A76A6" w:rsidRDefault="007A76A6" w:rsidP="007A76A6">
      <w:pPr>
        <w:widowControl w:val="0"/>
        <w:numPr>
          <w:ilvl w:val="0"/>
          <w:numId w:val="11"/>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Strategie: We sluiten aan bij de organisatiestrategie.</w:t>
      </w:r>
    </w:p>
    <w:p w14:paraId="20814A1D" w14:textId="77777777" w:rsidR="007A76A6" w:rsidRPr="007A76A6" w:rsidRDefault="007A76A6" w:rsidP="007A76A6">
      <w:pPr>
        <w:widowControl w:val="0"/>
        <w:numPr>
          <w:ilvl w:val="0"/>
          <w:numId w:val="11"/>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Beleid: We werken binnen vastgestelde kaders.</w:t>
      </w:r>
    </w:p>
    <w:p w14:paraId="1B04F043" w14:textId="77777777" w:rsidR="007A76A6" w:rsidRPr="007A76A6" w:rsidRDefault="007A76A6" w:rsidP="007A76A6">
      <w:pPr>
        <w:widowControl w:val="0"/>
        <w:numPr>
          <w:ilvl w:val="0"/>
          <w:numId w:val="11"/>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Architectuur: We werken vanuit een gekozen model.</w:t>
      </w:r>
    </w:p>
    <w:p w14:paraId="2781F6E2" w14:textId="77777777" w:rsidR="007A76A6" w:rsidRPr="007A76A6" w:rsidRDefault="007A76A6" w:rsidP="007A76A6">
      <w:pPr>
        <w:widowControl w:val="0"/>
        <w:numPr>
          <w:ilvl w:val="0"/>
          <w:numId w:val="11"/>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Eigenaarschap: We benoemen rollen en verantwoordelijkheden en delen die toe.</w:t>
      </w:r>
    </w:p>
    <w:p w14:paraId="3FE90CF3" w14:textId="77777777" w:rsidR="007A76A6" w:rsidRPr="007A76A6" w:rsidRDefault="007A76A6" w:rsidP="007A76A6">
      <w:pPr>
        <w:widowControl w:val="0"/>
        <w:numPr>
          <w:ilvl w:val="0"/>
          <w:numId w:val="11"/>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Risk Management: We prioriteren op basis van een risicoanalyse.</w:t>
      </w:r>
    </w:p>
    <w:p w14:paraId="6AA29FBD" w14:textId="77777777" w:rsidR="007A76A6" w:rsidRPr="007A76A6" w:rsidRDefault="007A76A6" w:rsidP="007A76A6">
      <w:pPr>
        <w:widowControl w:val="0"/>
        <w:numPr>
          <w:ilvl w:val="0"/>
          <w:numId w:val="11"/>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Roadmap: We leggen de te nemen acties vast in de tijd en maken daar budget voor vrij.</w:t>
      </w:r>
    </w:p>
    <w:p w14:paraId="7BD71137" w14:textId="77777777" w:rsidR="007A76A6" w:rsidRPr="007A76A6" w:rsidRDefault="007A76A6" w:rsidP="007A76A6">
      <w:pPr>
        <w:widowControl w:val="0"/>
        <w:numPr>
          <w:ilvl w:val="0"/>
          <w:numId w:val="11"/>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Toetsing: We laten ons toetsen.</w:t>
      </w:r>
    </w:p>
    <w:p w14:paraId="04BC58FB" w14:textId="77777777" w:rsidR="007A76A6" w:rsidRPr="007A76A6" w:rsidRDefault="007A76A6" w:rsidP="007A76A6">
      <w:pPr>
        <w:rPr>
          <w:sz w:val="22"/>
        </w:rPr>
      </w:pPr>
    </w:p>
    <w:p w14:paraId="7B82FE17" w14:textId="77777777" w:rsidR="00D93902" w:rsidRDefault="007A76A6" w:rsidP="007A76A6">
      <w:pPr>
        <w:rPr>
          <w:sz w:val="22"/>
        </w:rPr>
      </w:pPr>
      <w:r w:rsidRPr="007A76A6">
        <w:rPr>
          <w:sz w:val="22"/>
        </w:rPr>
        <w:t xml:space="preserve">Alle te ondernemen acties in de processen en technische weerbaarheid zijn geborgd in de Governance: </w:t>
      </w:r>
    </w:p>
    <w:p w14:paraId="5F20E458" w14:textId="6B5AA586" w:rsidR="007A76A6" w:rsidRDefault="007A76A6" w:rsidP="007A76A6">
      <w:pPr>
        <w:rPr>
          <w:b/>
          <w:bCs/>
          <w:color w:val="0070C0"/>
          <w:sz w:val="22"/>
        </w:rPr>
      </w:pPr>
      <w:r w:rsidRPr="007A76A6">
        <w:rPr>
          <w:b/>
          <w:bCs/>
          <w:color w:val="0070C0"/>
          <w:sz w:val="22"/>
        </w:rPr>
        <w:t>We weten wie wat doet met welk doel en in lijn met de strategische doelstellingen van de organisatie.</w:t>
      </w:r>
    </w:p>
    <w:p w14:paraId="0F8CF88C" w14:textId="77777777" w:rsidR="00D93902" w:rsidRPr="007A76A6" w:rsidRDefault="00D93902" w:rsidP="007A76A6">
      <w:pPr>
        <w:rPr>
          <w:b/>
          <w:bCs/>
          <w:color w:val="0070C0"/>
          <w:sz w:val="22"/>
        </w:rPr>
      </w:pPr>
    </w:p>
    <w:p w14:paraId="0BE4EA40" w14:textId="77777777" w:rsidR="007A76A6" w:rsidRPr="007A76A6" w:rsidRDefault="007A76A6" w:rsidP="007A76A6">
      <w:pPr>
        <w:rPr>
          <w:sz w:val="22"/>
        </w:rPr>
      </w:pPr>
      <w:r w:rsidRPr="007A76A6">
        <w:rPr>
          <w:sz w:val="22"/>
        </w:rPr>
        <w:t xml:space="preserve">Het belangrijkste doel van alle maatregelen is het mitigeren van de risico’s die we lopen op het gebied van Informatiebeveiliging en Privacy, waarmee we een veilige leer- en werk omgeving kunnen borgen. </w:t>
      </w:r>
    </w:p>
    <w:p w14:paraId="67FB4A67" w14:textId="65038ECF" w:rsidR="007A76A6" w:rsidRPr="007A76A6" w:rsidRDefault="007A76A6" w:rsidP="007A76A6">
      <w:pPr>
        <w:rPr>
          <w:sz w:val="22"/>
        </w:rPr>
      </w:pPr>
      <w:r w:rsidRPr="007A76A6">
        <w:rPr>
          <w:sz w:val="22"/>
        </w:rPr>
        <w:lastRenderedPageBreak/>
        <w:t xml:space="preserve">Certificering (goedkeuring) wordt echter een steeds belangrijker onderdeel van de Governance. Een </w:t>
      </w:r>
      <w:r w:rsidR="00D93902" w:rsidRPr="007A76A6">
        <w:rPr>
          <w:sz w:val="22"/>
        </w:rPr>
        <w:t>Certificering</w:t>
      </w:r>
      <w:r w:rsidRPr="007A76A6">
        <w:rPr>
          <w:sz w:val="22"/>
        </w:rPr>
        <w:t xml:space="preserve"> kan alleen gegeven worden door een professionele externe auditor. Vanwege recente grote veiligheidsincidenten binnen het onderwijsveld neigt het Ministerie van Onderwijs steeds meer naar een verplichte externe audit waarbij externe verantwoording steeds belangrijker wordt.</w:t>
      </w:r>
    </w:p>
    <w:p w14:paraId="2E623141" w14:textId="77777777" w:rsidR="007A76A6" w:rsidRPr="007A76A6" w:rsidRDefault="007A76A6" w:rsidP="007A76A6">
      <w:pPr>
        <w:rPr>
          <w:sz w:val="22"/>
        </w:rPr>
      </w:pPr>
    </w:p>
    <w:p w14:paraId="08084A4E" w14:textId="645EB140" w:rsidR="007A76A6" w:rsidRPr="007A76A6" w:rsidRDefault="00D93902"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16" w:name="_Toc144807484"/>
      <w:r w:rsidRPr="007A76A6">
        <w:rPr>
          <w:rFonts w:eastAsia="Times New Roman" w:cstheme="majorBidi"/>
          <w:b/>
          <w:bCs/>
          <w:iCs/>
          <w:color w:val="0070C0"/>
          <w:kern w:val="32"/>
          <w:sz w:val="24"/>
          <w:szCs w:val="32"/>
          <w:lang w:eastAsia="nl-NL"/>
        </w:rPr>
        <w:t>IBP-processen</w:t>
      </w:r>
      <w:bookmarkEnd w:id="16"/>
    </w:p>
    <w:p w14:paraId="411754F3" w14:textId="77777777" w:rsidR="007A76A6" w:rsidRPr="007A76A6" w:rsidRDefault="007A76A6" w:rsidP="007A76A6">
      <w:pPr>
        <w:rPr>
          <w:sz w:val="22"/>
        </w:rPr>
      </w:pPr>
      <w:r w:rsidRPr="007A76A6">
        <w:rPr>
          <w:sz w:val="22"/>
        </w:rPr>
        <w:t>Bij de volgende processen speelt Informatiebeveiliging en Privacy een grote rol:</w:t>
      </w:r>
    </w:p>
    <w:p w14:paraId="3722B41D" w14:textId="77777777" w:rsidR="007A76A6" w:rsidRPr="007A76A6" w:rsidRDefault="007A76A6" w:rsidP="007A76A6">
      <w:pPr>
        <w:widowControl w:val="0"/>
        <w:numPr>
          <w:ilvl w:val="0"/>
          <w:numId w:val="12"/>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Human Resources: betreft borging expertise en training.</w:t>
      </w:r>
    </w:p>
    <w:p w14:paraId="49647B1A" w14:textId="77777777" w:rsidR="007A76A6" w:rsidRPr="007A76A6" w:rsidRDefault="007A76A6" w:rsidP="007A76A6">
      <w:pPr>
        <w:widowControl w:val="0"/>
        <w:numPr>
          <w:ilvl w:val="0"/>
          <w:numId w:val="12"/>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 xml:space="preserve">ITIL: betreft Incident, </w:t>
      </w:r>
      <w:proofErr w:type="spellStart"/>
      <w:r w:rsidRPr="007A76A6">
        <w:rPr>
          <w:rFonts w:asciiTheme="minorHAnsi" w:eastAsiaTheme="minorHAnsi" w:hAnsiTheme="minorHAnsi" w:cstheme="minorBidi"/>
          <w:sz w:val="22"/>
          <w:szCs w:val="22"/>
        </w:rPr>
        <w:t>Problem</w:t>
      </w:r>
      <w:proofErr w:type="spellEnd"/>
      <w:r w:rsidRPr="007A76A6">
        <w:rPr>
          <w:rFonts w:asciiTheme="minorHAnsi" w:eastAsiaTheme="minorHAnsi" w:hAnsiTheme="minorHAnsi" w:cstheme="minorBidi"/>
          <w:sz w:val="22"/>
          <w:szCs w:val="22"/>
        </w:rPr>
        <w:t xml:space="preserve">, Change, en </w:t>
      </w:r>
      <w:proofErr w:type="spellStart"/>
      <w:r w:rsidRPr="007A76A6">
        <w:rPr>
          <w:rFonts w:asciiTheme="minorHAnsi" w:eastAsiaTheme="minorHAnsi" w:hAnsiTheme="minorHAnsi" w:cstheme="minorBidi"/>
          <w:sz w:val="22"/>
          <w:szCs w:val="22"/>
        </w:rPr>
        <w:t>Configuration</w:t>
      </w:r>
      <w:proofErr w:type="spellEnd"/>
      <w:r w:rsidRPr="007A76A6">
        <w:rPr>
          <w:rFonts w:asciiTheme="minorHAnsi" w:eastAsiaTheme="minorHAnsi" w:hAnsiTheme="minorHAnsi" w:cstheme="minorBidi"/>
          <w:sz w:val="22"/>
          <w:szCs w:val="22"/>
        </w:rPr>
        <w:t xml:space="preserve"> Management en Fysieke Beveiliging.</w:t>
      </w:r>
    </w:p>
    <w:p w14:paraId="2ED3619F" w14:textId="77777777" w:rsidR="007A76A6" w:rsidRPr="007A76A6" w:rsidRDefault="007A76A6" w:rsidP="007A76A6">
      <w:pPr>
        <w:widowControl w:val="0"/>
        <w:numPr>
          <w:ilvl w:val="0"/>
          <w:numId w:val="12"/>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Datamanagement: betreft opslag, beheer, verwijderen (bewaartermijnen) en bescherming van gegevens.</w:t>
      </w:r>
      <w:r w:rsidRPr="007A76A6">
        <w:rPr>
          <w:rFonts w:asciiTheme="minorHAnsi" w:eastAsiaTheme="minorHAnsi" w:hAnsiTheme="minorHAnsi" w:cstheme="minorBidi"/>
          <w:sz w:val="22"/>
          <w:szCs w:val="22"/>
        </w:rPr>
        <w:tab/>
      </w:r>
      <w:r w:rsidRPr="007A76A6">
        <w:rPr>
          <w:rFonts w:asciiTheme="minorHAnsi" w:eastAsiaTheme="minorHAnsi" w:hAnsiTheme="minorHAnsi" w:cstheme="minorBidi"/>
          <w:sz w:val="22"/>
          <w:szCs w:val="22"/>
        </w:rPr>
        <w:tab/>
        <w:t xml:space="preserve"> </w:t>
      </w:r>
    </w:p>
    <w:p w14:paraId="7E54EE0B" w14:textId="77777777" w:rsidR="007A76A6" w:rsidRPr="007A76A6" w:rsidRDefault="007A76A6" w:rsidP="007A76A6">
      <w:pPr>
        <w:widowControl w:val="0"/>
        <w:numPr>
          <w:ilvl w:val="0"/>
          <w:numId w:val="12"/>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Identity &amp; Access Management (IAM): betreft toegangsregels en - rechten tot informatie.</w:t>
      </w:r>
    </w:p>
    <w:p w14:paraId="1B3D21AC" w14:textId="77777777" w:rsidR="007A76A6" w:rsidRPr="007A76A6" w:rsidRDefault="007A76A6" w:rsidP="007A76A6">
      <w:pPr>
        <w:widowControl w:val="0"/>
        <w:numPr>
          <w:ilvl w:val="0"/>
          <w:numId w:val="12"/>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Security Baselines: minimale afspraken over hoe veilig te werken</w:t>
      </w:r>
    </w:p>
    <w:p w14:paraId="134178C3" w14:textId="77777777" w:rsidR="007A76A6" w:rsidRPr="007A76A6" w:rsidRDefault="007A76A6" w:rsidP="007A76A6">
      <w:pPr>
        <w:widowControl w:val="0"/>
        <w:numPr>
          <w:ilvl w:val="0"/>
          <w:numId w:val="12"/>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 xml:space="preserve">Business </w:t>
      </w:r>
      <w:proofErr w:type="spellStart"/>
      <w:r w:rsidRPr="007A76A6">
        <w:rPr>
          <w:rFonts w:asciiTheme="minorHAnsi" w:eastAsiaTheme="minorHAnsi" w:hAnsiTheme="minorHAnsi" w:cstheme="minorBidi"/>
          <w:sz w:val="22"/>
          <w:szCs w:val="22"/>
        </w:rPr>
        <w:t>Continuity</w:t>
      </w:r>
      <w:proofErr w:type="spellEnd"/>
      <w:r w:rsidRPr="007A76A6">
        <w:rPr>
          <w:rFonts w:asciiTheme="minorHAnsi" w:eastAsiaTheme="minorHAnsi" w:hAnsiTheme="minorHAnsi" w:cstheme="minorBidi"/>
          <w:sz w:val="22"/>
          <w:szCs w:val="22"/>
        </w:rPr>
        <w:t>: betreft opvangen van incidenten (waaronder crisismanagement).</w:t>
      </w:r>
      <w:r w:rsidRPr="007A76A6">
        <w:rPr>
          <w:rFonts w:asciiTheme="minorHAnsi" w:eastAsiaTheme="minorHAnsi" w:hAnsiTheme="minorHAnsi" w:cstheme="minorBidi"/>
          <w:sz w:val="22"/>
          <w:szCs w:val="22"/>
        </w:rPr>
        <w:tab/>
      </w:r>
    </w:p>
    <w:p w14:paraId="51C289EF" w14:textId="77777777" w:rsidR="007A76A6" w:rsidRPr="007A76A6" w:rsidRDefault="007A76A6" w:rsidP="007A76A6">
      <w:pPr>
        <w:widowControl w:val="0"/>
        <w:numPr>
          <w:ilvl w:val="0"/>
          <w:numId w:val="12"/>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Cloud Leveranciers: goede afspraken en controle daarop bij externe leveranciers.</w:t>
      </w:r>
    </w:p>
    <w:p w14:paraId="2F327F66" w14:textId="77777777" w:rsidR="007A76A6" w:rsidRPr="007A76A6" w:rsidRDefault="007A76A6" w:rsidP="007A76A6">
      <w:pPr>
        <w:widowControl w:val="0"/>
        <w:ind w:left="720"/>
        <w:contextualSpacing w:val="0"/>
        <w:rPr>
          <w:rFonts w:asciiTheme="minorHAnsi" w:eastAsiaTheme="minorHAnsi" w:hAnsiTheme="minorHAnsi" w:cstheme="minorBidi"/>
          <w:sz w:val="22"/>
          <w:szCs w:val="22"/>
        </w:rPr>
      </w:pPr>
    </w:p>
    <w:p w14:paraId="3F4E4346" w14:textId="77777777" w:rsidR="007A76A6" w:rsidRPr="007A76A6" w:rsidRDefault="007A76A6" w:rsidP="007A76A6">
      <w:pPr>
        <w:rPr>
          <w:sz w:val="22"/>
        </w:rPr>
      </w:pPr>
      <w:r w:rsidRPr="007A76A6">
        <w:rPr>
          <w:sz w:val="22"/>
        </w:rPr>
        <w:t>Aan ieder proces is een proceseigenaar toegewezen en de processen zijn beschreven.</w:t>
      </w:r>
    </w:p>
    <w:p w14:paraId="38779864" w14:textId="77777777" w:rsidR="007A76A6" w:rsidRPr="007A76A6" w:rsidRDefault="007A76A6" w:rsidP="007A76A6">
      <w:pPr>
        <w:rPr>
          <w:sz w:val="22"/>
        </w:rPr>
      </w:pPr>
    </w:p>
    <w:p w14:paraId="5F1E0480" w14:textId="77777777" w:rsidR="007A76A6" w:rsidRPr="007A76A6" w:rsidRDefault="007A76A6"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17" w:name="_Toc127096630"/>
      <w:bookmarkStart w:id="18" w:name="_Toc144807485"/>
      <w:r w:rsidRPr="007A76A6">
        <w:rPr>
          <w:rFonts w:eastAsia="Times New Roman" w:cstheme="majorBidi"/>
          <w:b/>
          <w:bCs/>
          <w:iCs/>
          <w:color w:val="0070C0"/>
          <w:kern w:val="32"/>
          <w:sz w:val="24"/>
          <w:szCs w:val="32"/>
          <w:lang w:eastAsia="nl-NL"/>
        </w:rPr>
        <w:t>Technische weerbaarheid</w:t>
      </w:r>
      <w:bookmarkEnd w:id="17"/>
      <w:bookmarkEnd w:id="18"/>
    </w:p>
    <w:p w14:paraId="1D9F89FA" w14:textId="77777777" w:rsidR="007A76A6" w:rsidRPr="007A76A6" w:rsidRDefault="007A76A6" w:rsidP="007A76A6">
      <w:pPr>
        <w:rPr>
          <w:sz w:val="22"/>
        </w:rPr>
      </w:pPr>
      <w:r w:rsidRPr="007A76A6">
        <w:rPr>
          <w:sz w:val="22"/>
        </w:rPr>
        <w:t>Bij technische weerbaarheid zijn de volgende thema’s te onderscheiden:</w:t>
      </w:r>
    </w:p>
    <w:p w14:paraId="0C7D0FBE" w14:textId="77777777" w:rsidR="007A76A6" w:rsidRPr="007A76A6" w:rsidRDefault="007A76A6" w:rsidP="007A76A6">
      <w:pPr>
        <w:widowControl w:val="0"/>
        <w:numPr>
          <w:ilvl w:val="0"/>
          <w:numId w:val="13"/>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Multi Factor Authenticatie/Thuiswerken: betreft veilig van buitenaf inloggen.</w:t>
      </w:r>
    </w:p>
    <w:p w14:paraId="34D1B049" w14:textId="77777777" w:rsidR="007A76A6" w:rsidRPr="007A76A6" w:rsidRDefault="007A76A6" w:rsidP="007A76A6">
      <w:pPr>
        <w:widowControl w:val="0"/>
        <w:numPr>
          <w:ilvl w:val="0"/>
          <w:numId w:val="13"/>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SOC SIEM: betreft 24 x 7 detectie van het netwerk (en respons).</w:t>
      </w:r>
    </w:p>
    <w:p w14:paraId="6B64A633" w14:textId="77777777" w:rsidR="007A76A6" w:rsidRPr="007A76A6" w:rsidRDefault="007A76A6" w:rsidP="007A76A6">
      <w:pPr>
        <w:widowControl w:val="0"/>
        <w:numPr>
          <w:ilvl w:val="0"/>
          <w:numId w:val="13"/>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Pentesten: betreft periodiek gericht testen op kwetsbaarheden in het netwerk.</w:t>
      </w:r>
    </w:p>
    <w:p w14:paraId="0F48EFE3" w14:textId="77777777" w:rsidR="007A76A6" w:rsidRPr="007A76A6" w:rsidRDefault="007A76A6" w:rsidP="007A76A6">
      <w:pPr>
        <w:widowControl w:val="0"/>
        <w:numPr>
          <w:ilvl w:val="0"/>
          <w:numId w:val="13"/>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Patchbeheer: betreft structureel bijwerken van de software (beveiligingsupdates).</w:t>
      </w:r>
    </w:p>
    <w:p w14:paraId="7C278697" w14:textId="77777777" w:rsidR="007A76A6" w:rsidRPr="007A76A6" w:rsidRDefault="007A76A6" w:rsidP="007A76A6">
      <w:pPr>
        <w:widowControl w:val="0"/>
        <w:numPr>
          <w:ilvl w:val="0"/>
          <w:numId w:val="13"/>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Infrastructuur: betreft beschikbaarheid van het netwerk en systemen.</w:t>
      </w:r>
    </w:p>
    <w:p w14:paraId="136358BA" w14:textId="77777777" w:rsidR="007A76A6" w:rsidRPr="007A76A6" w:rsidRDefault="007A76A6" w:rsidP="007A76A6">
      <w:pPr>
        <w:widowControl w:val="0"/>
        <w:numPr>
          <w:ilvl w:val="0"/>
          <w:numId w:val="13"/>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Security Policy: betreft inrichting technische beveiliging van het netwerk en systemen.</w:t>
      </w:r>
    </w:p>
    <w:p w14:paraId="654F9370" w14:textId="77777777" w:rsidR="007A76A6" w:rsidRPr="007A76A6" w:rsidRDefault="007A76A6" w:rsidP="007A76A6">
      <w:pPr>
        <w:widowControl w:val="0"/>
        <w:numPr>
          <w:ilvl w:val="0"/>
          <w:numId w:val="13"/>
        </w:numPr>
        <w:contextualSpacing w:val="0"/>
        <w:rPr>
          <w:rFonts w:asciiTheme="minorHAnsi" w:eastAsiaTheme="minorHAnsi" w:hAnsiTheme="minorHAnsi" w:cstheme="minorBidi"/>
          <w:sz w:val="22"/>
          <w:szCs w:val="22"/>
        </w:rPr>
      </w:pPr>
      <w:r w:rsidRPr="007A76A6">
        <w:rPr>
          <w:rFonts w:asciiTheme="minorHAnsi" w:eastAsiaTheme="minorHAnsi" w:hAnsiTheme="minorHAnsi" w:cstheme="minorBidi"/>
          <w:sz w:val="22"/>
          <w:szCs w:val="22"/>
        </w:rPr>
        <w:t>Computer Operations: betreft automatische IT-processen (bijvoorbeeld back-up).</w:t>
      </w:r>
    </w:p>
    <w:p w14:paraId="38D80E8C" w14:textId="77777777" w:rsidR="007A76A6" w:rsidRPr="007A76A6" w:rsidRDefault="007A76A6" w:rsidP="007A76A6">
      <w:pPr>
        <w:widowControl w:val="0"/>
        <w:ind w:left="720"/>
        <w:contextualSpacing w:val="0"/>
        <w:rPr>
          <w:rFonts w:asciiTheme="minorHAnsi" w:eastAsiaTheme="minorHAnsi" w:hAnsiTheme="minorHAnsi" w:cstheme="minorBidi"/>
          <w:sz w:val="22"/>
          <w:szCs w:val="22"/>
        </w:rPr>
      </w:pPr>
    </w:p>
    <w:p w14:paraId="53B2E90D" w14:textId="77777777" w:rsidR="007A76A6" w:rsidRPr="007A76A6" w:rsidRDefault="007A76A6" w:rsidP="007A76A6">
      <w:pPr>
        <w:rPr>
          <w:sz w:val="22"/>
        </w:rPr>
      </w:pPr>
      <w:r w:rsidRPr="007A76A6">
        <w:rPr>
          <w:sz w:val="22"/>
        </w:rPr>
        <w:t>De bovenstaande thema’s zullen uitgevoerd of onder regie uitbesteed worden door de IT-afdeling. Zij zullen hierover in begrijpelijke taal rapporteren aan het College van Bestuur. Bij deze rapportage hoort ook een financieel overzicht, zodat duidelijk is welke veiligheidsmaatregelen horen bij de gemaakt kosten/investeringen.</w:t>
      </w:r>
    </w:p>
    <w:p w14:paraId="11A3698C" w14:textId="77777777" w:rsidR="007A76A6" w:rsidRPr="007A76A6" w:rsidRDefault="007A76A6" w:rsidP="007A76A6">
      <w:pPr>
        <w:rPr>
          <w:sz w:val="22"/>
        </w:rPr>
      </w:pPr>
      <w:r w:rsidRPr="007A76A6">
        <w:rPr>
          <w:sz w:val="22"/>
        </w:rPr>
        <w:t>De thema’s Multi Factor Authenticatie/Thuiswerken, SOC SIEM en Security Policy vallen onder het zogenaamde Zero Trust principe.</w:t>
      </w:r>
    </w:p>
    <w:p w14:paraId="4514E0D2" w14:textId="77777777" w:rsidR="007A76A6" w:rsidRPr="007A76A6" w:rsidRDefault="007A76A6" w:rsidP="007A76A6">
      <w:pPr>
        <w:rPr>
          <w:sz w:val="22"/>
        </w:rPr>
      </w:pPr>
    </w:p>
    <w:p w14:paraId="4D01C4A3" w14:textId="77777777" w:rsidR="007A76A6" w:rsidRPr="007A76A6" w:rsidRDefault="007A76A6" w:rsidP="007A76A6">
      <w:pPr>
        <w:keepNext/>
        <w:numPr>
          <w:ilvl w:val="1"/>
          <w:numId w:val="2"/>
        </w:numPr>
        <w:ind w:left="567" w:hanging="567"/>
        <w:contextualSpacing w:val="0"/>
        <w:jc w:val="both"/>
        <w:outlineLvl w:val="1"/>
        <w:rPr>
          <w:rFonts w:eastAsia="Times New Roman" w:cstheme="majorBidi"/>
          <w:b/>
          <w:bCs/>
          <w:iCs/>
          <w:color w:val="0070C0"/>
          <w:kern w:val="32"/>
          <w:sz w:val="24"/>
          <w:szCs w:val="32"/>
          <w:lang w:eastAsia="nl-NL"/>
        </w:rPr>
      </w:pPr>
      <w:bookmarkStart w:id="19" w:name="_Toc127096631"/>
      <w:bookmarkStart w:id="20" w:name="_Toc144807486"/>
      <w:r w:rsidRPr="007A76A6">
        <w:rPr>
          <w:rFonts w:eastAsia="Times New Roman" w:cstheme="majorBidi"/>
          <w:b/>
          <w:bCs/>
          <w:iCs/>
          <w:color w:val="0070C0"/>
          <w:kern w:val="32"/>
          <w:sz w:val="24"/>
          <w:szCs w:val="32"/>
          <w:lang w:eastAsia="nl-NL"/>
        </w:rPr>
        <w:t>Slot en vervolg</w:t>
      </w:r>
      <w:bookmarkEnd w:id="19"/>
      <w:bookmarkEnd w:id="20"/>
    </w:p>
    <w:p w14:paraId="57E16DB7" w14:textId="77777777" w:rsidR="007A76A6" w:rsidRPr="007A76A6" w:rsidRDefault="007A76A6" w:rsidP="007A76A6">
      <w:pPr>
        <w:rPr>
          <w:sz w:val="22"/>
        </w:rPr>
      </w:pPr>
      <w:r w:rsidRPr="007A76A6">
        <w:rPr>
          <w:sz w:val="22"/>
        </w:rPr>
        <w:t>Deze visie op en strategische uitgangspunten van Informatiebeveiliging en Privacy zijn leidend voor alle activiteiten en maatregelen met betrekking tot informatiebeveiliging en bescherming van de persoonsgegevens.</w:t>
      </w:r>
    </w:p>
    <w:p w14:paraId="7E3AF0C6" w14:textId="211CC97A" w:rsidR="007A76A6" w:rsidRPr="007A76A6" w:rsidRDefault="007A76A6" w:rsidP="007A76A6">
      <w:pPr>
        <w:rPr>
          <w:sz w:val="22"/>
        </w:rPr>
      </w:pPr>
      <w:r w:rsidRPr="007A76A6">
        <w:rPr>
          <w:sz w:val="22"/>
        </w:rPr>
        <w:t xml:space="preserve">In het Informatiebeveiliging en privacy beleid zijn deze uitgangspunten uitgewerkt en gekaderd, zodat </w:t>
      </w:r>
      <w:r>
        <w:rPr>
          <w:sz w:val="22"/>
        </w:rPr>
        <w:t>Security Nederland</w:t>
      </w:r>
      <w:r w:rsidRPr="007A76A6">
        <w:rPr>
          <w:sz w:val="22"/>
        </w:rPr>
        <w:t xml:space="preserve"> planmatig kan groeien in volwassenheid en stappen zet in de richting waar ze als organisatie voor gaat.</w:t>
      </w:r>
    </w:p>
    <w:sectPr w:rsidR="007A76A6" w:rsidRPr="007A76A6" w:rsidSect="00AF40D6">
      <w:headerReference w:type="default" r:id="rId13"/>
      <w:footerReference w:type="default" r:id="rId14"/>
      <w:pgSz w:w="11906" w:h="16838"/>
      <w:pgMar w:top="1417" w:right="849" w:bottom="1417"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0DAA" w14:textId="77777777" w:rsidR="005B5F35" w:rsidRDefault="005B5F35" w:rsidP="0003449B">
      <w:r>
        <w:separator/>
      </w:r>
    </w:p>
  </w:endnote>
  <w:endnote w:type="continuationSeparator" w:id="0">
    <w:p w14:paraId="0AB74CDD" w14:textId="77777777" w:rsidR="005B5F35" w:rsidRDefault="005B5F35" w:rsidP="0003449B">
      <w:r>
        <w:continuationSeparator/>
      </w:r>
    </w:p>
  </w:endnote>
  <w:endnote w:type="continuationNotice" w:id="1">
    <w:p w14:paraId="378B52A5" w14:textId="77777777" w:rsidR="005B5F35" w:rsidRDefault="005B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6C09DDB2" w:rsidR="007047B7" w:rsidRPr="004D2539" w:rsidRDefault="00BA3922" w:rsidP="004662EE">
            <w:pPr>
              <w:pStyle w:val="Voettekst"/>
              <w:rPr>
                <w:rFonts w:asciiTheme="minorHAnsi" w:hAnsiTheme="minorHAnsi" w:cstheme="minorHAnsi"/>
                <w:color w:val="0070C0"/>
              </w:rPr>
            </w:pPr>
            <w:r>
              <w:rPr>
                <w:rFonts w:asciiTheme="minorHAnsi" w:hAnsiTheme="minorHAnsi" w:cstheme="minorHAnsi"/>
                <w:color w:val="0070C0"/>
              </w:rPr>
              <w:t>NBADOC G0</w:t>
            </w:r>
            <w:r w:rsidR="00DA05CF">
              <w:rPr>
                <w:rFonts w:asciiTheme="minorHAnsi" w:hAnsiTheme="minorHAnsi" w:cstheme="minorHAnsi"/>
                <w:color w:val="0070C0"/>
              </w:rPr>
              <w:t>1-Strategie</w:t>
            </w:r>
            <w:r w:rsidR="00C144D1">
              <w:rPr>
                <w:rFonts w:asciiTheme="minorHAnsi" w:hAnsiTheme="minorHAnsi" w:cstheme="minorHAnsi"/>
                <w:color w:val="0070C0"/>
              </w:rPr>
              <w:t xml:space="preserve"> </w:t>
            </w:r>
            <w:r w:rsidR="00DA05CF">
              <w:rPr>
                <w:rFonts w:asciiTheme="minorHAnsi" w:hAnsiTheme="minorHAnsi" w:cstheme="minorHAnsi"/>
                <w:color w:val="0070C0"/>
              </w:rPr>
              <w:t>5-9-</w:t>
            </w:r>
            <w:r>
              <w:rPr>
                <w:rFonts w:asciiTheme="minorHAnsi" w:hAnsiTheme="minorHAnsi" w:cstheme="minorHAnsi"/>
                <w:color w:val="0070C0"/>
              </w:rPr>
              <w:t>2023</w:t>
            </w:r>
            <w:r w:rsidR="007047B7" w:rsidRPr="004D2539">
              <w:rPr>
                <w:rFonts w:asciiTheme="minorHAnsi" w:hAnsiTheme="minorHAnsi" w:cstheme="minorHAnsi"/>
                <w:color w:val="0070C0"/>
              </w:rPr>
              <w:tab/>
            </w:r>
            <w:r w:rsidR="007047B7" w:rsidRPr="004D2539">
              <w:rPr>
                <w:rFonts w:asciiTheme="minorHAnsi" w:hAnsiTheme="minorHAnsi" w:cstheme="minorHAnsi"/>
                <w:color w:val="0070C0"/>
              </w:rPr>
              <w:tab/>
              <w:t xml:space="preserve">Pagina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PAGE</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r w:rsidR="007047B7" w:rsidRPr="004D2539">
              <w:rPr>
                <w:rFonts w:asciiTheme="minorHAnsi" w:hAnsiTheme="minorHAnsi" w:cstheme="minorHAnsi"/>
                <w:color w:val="0070C0"/>
              </w:rPr>
              <w:t xml:space="preserve"> van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NUMPAGES</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p>
        </w:sdtContent>
      </w:sdt>
    </w:sdtContent>
  </w:sdt>
  <w:p w14:paraId="6AC733C0" w14:textId="2E51EA8A" w:rsidR="007047B7" w:rsidRPr="00960FB7" w:rsidRDefault="007047B7" w:rsidP="00583416">
    <w:pPr>
      <w:pStyle w:val="Voettekst"/>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68D6" w14:textId="77777777" w:rsidR="005B5F35" w:rsidRDefault="005B5F35" w:rsidP="0003449B">
      <w:r>
        <w:separator/>
      </w:r>
    </w:p>
  </w:footnote>
  <w:footnote w:type="continuationSeparator" w:id="0">
    <w:p w14:paraId="5F56D08D" w14:textId="77777777" w:rsidR="005B5F35" w:rsidRDefault="005B5F35" w:rsidP="0003449B">
      <w:r>
        <w:continuationSeparator/>
      </w:r>
    </w:p>
  </w:footnote>
  <w:footnote w:type="continuationNotice" w:id="1">
    <w:p w14:paraId="24FB0FA2" w14:textId="77777777" w:rsidR="005B5F35" w:rsidRDefault="005B5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5EE67F4D" w:rsidR="007047B7" w:rsidRPr="00FD04E3" w:rsidRDefault="00BA3922" w:rsidP="003B57BB">
    <w:pPr>
      <w:pStyle w:val="Koptekst"/>
      <w:tabs>
        <w:tab w:val="clear" w:pos="4536"/>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3360" behindDoc="0" locked="0" layoutInCell="1" allowOverlap="1" wp14:anchorId="7B7EE696" wp14:editId="4BAE9F2A">
          <wp:simplePos x="0" y="0"/>
          <wp:positionH relativeFrom="margin">
            <wp:align>left</wp:align>
          </wp:positionH>
          <wp:positionV relativeFrom="paragraph">
            <wp:posOffset>-70485</wp:posOffset>
          </wp:positionV>
          <wp:extent cx="1987550" cy="389890"/>
          <wp:effectExtent l="0" t="0" r="0" b="0"/>
          <wp:wrapThrough wrapText="bothSides">
            <wp:wrapPolygon edited="0">
              <wp:start x="0" y="0"/>
              <wp:lineTo x="0" y="20052"/>
              <wp:lineTo x="21324" y="20052"/>
              <wp:lineTo x="21324" y="0"/>
              <wp:lineTo x="0" y="0"/>
            </wp:wrapPolygon>
          </wp:wrapThrough>
          <wp:docPr id="3" name="Afbeelding 3"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schermopnam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sidR="00FD04E3" w:rsidRPr="00FD04E3">
      <w:rPr>
        <w:rFonts w:asciiTheme="minorHAnsi" w:hAnsiTheme="minorHAnsi" w:cstheme="minorBidi"/>
        <w:b/>
        <w:bCs/>
        <w:noProof/>
        <w:color w:val="0070C0"/>
        <w:sz w:val="32"/>
        <w:szCs w:val="32"/>
      </w:rPr>
      <w:drawing>
        <wp:anchor distT="0" distB="0" distL="114300" distR="114300" simplePos="0" relativeHeight="251659264" behindDoc="0" locked="0" layoutInCell="1" allowOverlap="1" wp14:anchorId="68D9F292" wp14:editId="395B0AAA">
          <wp:simplePos x="0" y="0"/>
          <wp:positionH relativeFrom="column">
            <wp:posOffset>5239964</wp:posOffset>
          </wp:positionH>
          <wp:positionV relativeFrom="paragraph">
            <wp:posOffset>-113938</wp:posOffset>
          </wp:positionV>
          <wp:extent cx="585470" cy="494030"/>
          <wp:effectExtent l="0" t="0" r="0" b="1270"/>
          <wp:wrapThrough wrapText="bothSides">
            <wp:wrapPolygon edited="0">
              <wp:start x="1406" y="0"/>
              <wp:lineTo x="1406" y="20823"/>
              <wp:lineTo x="19679" y="20823"/>
              <wp:lineTo x="19679" y="0"/>
              <wp:lineTo x="1406" y="0"/>
            </wp:wrapPolygon>
          </wp:wrapThrough>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494030"/>
                  </a:xfrm>
                  <a:prstGeom prst="rect">
                    <a:avLst/>
                  </a:prstGeom>
                  <a:noFill/>
                </pic:spPr>
              </pic:pic>
            </a:graphicData>
          </a:graphic>
          <wp14:sizeRelH relativeFrom="page">
            <wp14:pctWidth>0</wp14:pctWidth>
          </wp14:sizeRelH>
          <wp14:sizeRelV relativeFrom="page">
            <wp14:pctHeight>0</wp14:pctHeight>
          </wp14:sizeRelV>
        </wp:anchor>
      </w:drawing>
    </w:r>
    <w:r w:rsidR="001D6A2F" w:rsidRPr="001D6A2F">
      <w:t xml:space="preserve"> </w:t>
    </w:r>
    <w:r w:rsidR="001D6A2F" w:rsidRPr="001D6A2F">
      <w:rPr>
        <w:rFonts w:asciiTheme="minorHAnsi" w:hAnsiTheme="minorHAnsi" w:cstheme="minorBidi"/>
        <w:b/>
        <w:bCs/>
        <w:noProof/>
        <w:color w:val="0070C0"/>
        <w:sz w:val="32"/>
        <w:szCs w:val="32"/>
        <w:lang w:eastAsia="nl-NL"/>
      </w:rPr>
      <w:t>Strategie</w:t>
    </w:r>
    <w:r w:rsidR="007047B7" w:rsidRPr="00FD04E3">
      <w:rPr>
        <w:rFonts w:asciiTheme="minorHAnsi" w:hAnsiTheme="minorHAnsi" w:cstheme="minorBidi"/>
        <w:b/>
        <w:bCs/>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80A"/>
    <w:multiLevelType w:val="hybridMultilevel"/>
    <w:tmpl w:val="FB9EA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55B17"/>
    <w:multiLevelType w:val="hybridMultilevel"/>
    <w:tmpl w:val="92AE8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1601A7"/>
    <w:multiLevelType w:val="hybridMultilevel"/>
    <w:tmpl w:val="14E28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B140CF"/>
    <w:multiLevelType w:val="multilevel"/>
    <w:tmpl w:val="BFAA90D8"/>
    <w:lvl w:ilvl="0">
      <w:start w:val="1"/>
      <w:numFmt w:val="decimal"/>
      <w:pStyle w:val="Kop1"/>
      <w:lvlText w:val="%1."/>
      <w:lvlJc w:val="left"/>
      <w:pPr>
        <w:ind w:left="1353" w:hanging="360"/>
      </w:pPr>
      <w:rPr>
        <w:rFonts w:hint="default"/>
      </w:rPr>
    </w:lvl>
    <w:lvl w:ilvl="1">
      <w:start w:val="1"/>
      <w:numFmt w:val="decimal"/>
      <w:pStyle w:val="Kop2"/>
      <w:lvlText w:val="%1.%2."/>
      <w:lvlJc w:val="left"/>
      <w:pPr>
        <w:ind w:left="-277" w:hanging="432"/>
      </w:pPr>
      <w:rPr>
        <w:rFonts w:hint="default"/>
      </w:rPr>
    </w:lvl>
    <w:lvl w:ilvl="2">
      <w:start w:val="1"/>
      <w:numFmt w:val="decimal"/>
      <w:lvlText w:val="%1.%2.%3."/>
      <w:lvlJc w:val="left"/>
      <w:pPr>
        <w:ind w:left="515" w:hanging="504"/>
      </w:pPr>
      <w:rPr>
        <w:rFonts w:hint="default"/>
      </w:rPr>
    </w:lvl>
    <w:lvl w:ilvl="3">
      <w:start w:val="1"/>
      <w:numFmt w:val="decimal"/>
      <w:lvlText w:val="%1.%2.%3.%4."/>
      <w:lvlJc w:val="left"/>
      <w:pPr>
        <w:ind w:left="1019" w:hanging="648"/>
      </w:pPr>
      <w:rPr>
        <w:rFonts w:hint="default"/>
      </w:rPr>
    </w:lvl>
    <w:lvl w:ilvl="4">
      <w:start w:val="1"/>
      <w:numFmt w:val="decima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decimal"/>
      <w:lvlText w:val="%1.%2.%3.%4.%5.%6.%7.%8.%9."/>
      <w:lvlJc w:val="left"/>
      <w:pPr>
        <w:ind w:left="3611" w:hanging="1440"/>
      </w:pPr>
      <w:rPr>
        <w:rFonts w:hint="default"/>
      </w:rPr>
    </w:lvl>
  </w:abstractNum>
  <w:abstractNum w:abstractNumId="4" w15:restartNumberingAfterBreak="0">
    <w:nsid w:val="1DED399C"/>
    <w:multiLevelType w:val="hybridMultilevel"/>
    <w:tmpl w:val="3B628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50604D"/>
    <w:multiLevelType w:val="hybridMultilevel"/>
    <w:tmpl w:val="02B8B7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7689C"/>
    <w:multiLevelType w:val="hybridMultilevel"/>
    <w:tmpl w:val="A2541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AE27FE"/>
    <w:multiLevelType w:val="hybridMultilevel"/>
    <w:tmpl w:val="738A0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C80A06"/>
    <w:multiLevelType w:val="hybridMultilevel"/>
    <w:tmpl w:val="8BD4E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CD6B45"/>
    <w:multiLevelType w:val="hybridMultilevel"/>
    <w:tmpl w:val="148CA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400679"/>
    <w:multiLevelType w:val="hybridMultilevel"/>
    <w:tmpl w:val="DA26A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D455FF"/>
    <w:multiLevelType w:val="hybridMultilevel"/>
    <w:tmpl w:val="B60EEB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940067878">
    <w:abstractNumId w:val="12"/>
  </w:num>
  <w:num w:numId="2" w16cid:durableId="246237034">
    <w:abstractNumId w:val="3"/>
  </w:num>
  <w:num w:numId="3" w16cid:durableId="996806079">
    <w:abstractNumId w:val="5"/>
  </w:num>
  <w:num w:numId="4" w16cid:durableId="1609041343">
    <w:abstractNumId w:val="2"/>
  </w:num>
  <w:num w:numId="5" w16cid:durableId="394160573">
    <w:abstractNumId w:val="7"/>
  </w:num>
  <w:num w:numId="6" w16cid:durableId="562256999">
    <w:abstractNumId w:val="4"/>
  </w:num>
  <w:num w:numId="7" w16cid:durableId="1283922859">
    <w:abstractNumId w:val="8"/>
  </w:num>
  <w:num w:numId="8" w16cid:durableId="511260760">
    <w:abstractNumId w:val="6"/>
  </w:num>
  <w:num w:numId="9" w16cid:durableId="1491826571">
    <w:abstractNumId w:val="1"/>
  </w:num>
  <w:num w:numId="10" w16cid:durableId="1871725073">
    <w:abstractNumId w:val="9"/>
  </w:num>
  <w:num w:numId="11" w16cid:durableId="1272932371">
    <w:abstractNumId w:val="10"/>
  </w:num>
  <w:num w:numId="12" w16cid:durableId="2033339644">
    <w:abstractNumId w:val="11"/>
  </w:num>
  <w:num w:numId="13" w16cid:durableId="3174681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331"/>
    <w:rsid w:val="00091A0B"/>
    <w:rsid w:val="00094058"/>
    <w:rsid w:val="000A0596"/>
    <w:rsid w:val="000A259A"/>
    <w:rsid w:val="000A66D8"/>
    <w:rsid w:val="000B5DE2"/>
    <w:rsid w:val="000B6A11"/>
    <w:rsid w:val="000C1A96"/>
    <w:rsid w:val="000C757C"/>
    <w:rsid w:val="000D04C6"/>
    <w:rsid w:val="000D1477"/>
    <w:rsid w:val="000D33A9"/>
    <w:rsid w:val="000D3B3C"/>
    <w:rsid w:val="000D3F13"/>
    <w:rsid w:val="000D5B42"/>
    <w:rsid w:val="000D6054"/>
    <w:rsid w:val="000E3FA1"/>
    <w:rsid w:val="000E4D0E"/>
    <w:rsid w:val="000E4E1C"/>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4B98"/>
    <w:rsid w:val="00145695"/>
    <w:rsid w:val="00146377"/>
    <w:rsid w:val="00150135"/>
    <w:rsid w:val="001505A1"/>
    <w:rsid w:val="001526B4"/>
    <w:rsid w:val="00152CCA"/>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393C"/>
    <w:rsid w:val="001C3A0C"/>
    <w:rsid w:val="001C4CC1"/>
    <w:rsid w:val="001C6197"/>
    <w:rsid w:val="001C7807"/>
    <w:rsid w:val="001D5A38"/>
    <w:rsid w:val="001D637B"/>
    <w:rsid w:val="001D6A2F"/>
    <w:rsid w:val="001D73D0"/>
    <w:rsid w:val="001E11DB"/>
    <w:rsid w:val="001E16E0"/>
    <w:rsid w:val="001E3578"/>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56292"/>
    <w:rsid w:val="0026381F"/>
    <w:rsid w:val="0026563A"/>
    <w:rsid w:val="00265B52"/>
    <w:rsid w:val="00265DA2"/>
    <w:rsid w:val="00267450"/>
    <w:rsid w:val="002741C1"/>
    <w:rsid w:val="002746ED"/>
    <w:rsid w:val="0027583A"/>
    <w:rsid w:val="0027747E"/>
    <w:rsid w:val="00277C14"/>
    <w:rsid w:val="002803C2"/>
    <w:rsid w:val="002811C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6BE0"/>
    <w:rsid w:val="00356C1C"/>
    <w:rsid w:val="0036053F"/>
    <w:rsid w:val="003610A3"/>
    <w:rsid w:val="003617C7"/>
    <w:rsid w:val="003714AA"/>
    <w:rsid w:val="00371CA8"/>
    <w:rsid w:val="003736F4"/>
    <w:rsid w:val="00374B81"/>
    <w:rsid w:val="00374D72"/>
    <w:rsid w:val="0037680F"/>
    <w:rsid w:val="00376C07"/>
    <w:rsid w:val="00377D9B"/>
    <w:rsid w:val="003806F5"/>
    <w:rsid w:val="00381946"/>
    <w:rsid w:val="00381EC3"/>
    <w:rsid w:val="003822CB"/>
    <w:rsid w:val="00382BCF"/>
    <w:rsid w:val="0038540B"/>
    <w:rsid w:val="00390B12"/>
    <w:rsid w:val="00392772"/>
    <w:rsid w:val="00392832"/>
    <w:rsid w:val="003928B9"/>
    <w:rsid w:val="003936CA"/>
    <w:rsid w:val="00394E3E"/>
    <w:rsid w:val="00395694"/>
    <w:rsid w:val="003A2B7E"/>
    <w:rsid w:val="003A36DD"/>
    <w:rsid w:val="003A6690"/>
    <w:rsid w:val="003B2AF0"/>
    <w:rsid w:val="003B31ED"/>
    <w:rsid w:val="003B3287"/>
    <w:rsid w:val="003B37A6"/>
    <w:rsid w:val="003B47E9"/>
    <w:rsid w:val="003B57BB"/>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21F93"/>
    <w:rsid w:val="004243A2"/>
    <w:rsid w:val="004252DD"/>
    <w:rsid w:val="00425CC8"/>
    <w:rsid w:val="00426062"/>
    <w:rsid w:val="00430B37"/>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8EF"/>
    <w:rsid w:val="004B3DF2"/>
    <w:rsid w:val="004C003C"/>
    <w:rsid w:val="004C1580"/>
    <w:rsid w:val="004C2555"/>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5498"/>
    <w:rsid w:val="00525E4F"/>
    <w:rsid w:val="00526584"/>
    <w:rsid w:val="005274FE"/>
    <w:rsid w:val="00533C7F"/>
    <w:rsid w:val="00536212"/>
    <w:rsid w:val="00536F26"/>
    <w:rsid w:val="00537402"/>
    <w:rsid w:val="00540A8F"/>
    <w:rsid w:val="005411AB"/>
    <w:rsid w:val="0054383E"/>
    <w:rsid w:val="005452B0"/>
    <w:rsid w:val="005513E1"/>
    <w:rsid w:val="00552204"/>
    <w:rsid w:val="005527D7"/>
    <w:rsid w:val="00554995"/>
    <w:rsid w:val="00555F1A"/>
    <w:rsid w:val="00560AC1"/>
    <w:rsid w:val="00560AFA"/>
    <w:rsid w:val="00565214"/>
    <w:rsid w:val="00566392"/>
    <w:rsid w:val="0057211E"/>
    <w:rsid w:val="00572EB1"/>
    <w:rsid w:val="00576000"/>
    <w:rsid w:val="00581620"/>
    <w:rsid w:val="005820A2"/>
    <w:rsid w:val="00583416"/>
    <w:rsid w:val="00583517"/>
    <w:rsid w:val="00585182"/>
    <w:rsid w:val="00586345"/>
    <w:rsid w:val="00586859"/>
    <w:rsid w:val="005878F1"/>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5F35"/>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7B82"/>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45C9"/>
    <w:rsid w:val="00645192"/>
    <w:rsid w:val="00647955"/>
    <w:rsid w:val="00647D84"/>
    <w:rsid w:val="00652A92"/>
    <w:rsid w:val="0065703C"/>
    <w:rsid w:val="0066147E"/>
    <w:rsid w:val="00663191"/>
    <w:rsid w:val="006644DF"/>
    <w:rsid w:val="00664E52"/>
    <w:rsid w:val="00666C24"/>
    <w:rsid w:val="00667B00"/>
    <w:rsid w:val="00671D15"/>
    <w:rsid w:val="0067309E"/>
    <w:rsid w:val="00676BC1"/>
    <w:rsid w:val="00677766"/>
    <w:rsid w:val="0068316C"/>
    <w:rsid w:val="00685A2E"/>
    <w:rsid w:val="006918AB"/>
    <w:rsid w:val="00691D86"/>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C5C02"/>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2496"/>
    <w:rsid w:val="0075460B"/>
    <w:rsid w:val="007547F8"/>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2F84"/>
    <w:rsid w:val="007A4B98"/>
    <w:rsid w:val="007A54C0"/>
    <w:rsid w:val="007A5E4D"/>
    <w:rsid w:val="007A64C8"/>
    <w:rsid w:val="007A76A6"/>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676"/>
    <w:rsid w:val="00832CF9"/>
    <w:rsid w:val="00835282"/>
    <w:rsid w:val="00837466"/>
    <w:rsid w:val="00837685"/>
    <w:rsid w:val="00837698"/>
    <w:rsid w:val="00840751"/>
    <w:rsid w:val="00841C3D"/>
    <w:rsid w:val="00844E5B"/>
    <w:rsid w:val="008453AC"/>
    <w:rsid w:val="00846FFE"/>
    <w:rsid w:val="008518AD"/>
    <w:rsid w:val="008545F8"/>
    <w:rsid w:val="00860741"/>
    <w:rsid w:val="00860913"/>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29FD"/>
    <w:rsid w:val="008F4EED"/>
    <w:rsid w:val="008F5A24"/>
    <w:rsid w:val="008F6017"/>
    <w:rsid w:val="008F7FC6"/>
    <w:rsid w:val="00900254"/>
    <w:rsid w:val="00904757"/>
    <w:rsid w:val="00907D10"/>
    <w:rsid w:val="00907FAC"/>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6FD3"/>
    <w:rsid w:val="0097056E"/>
    <w:rsid w:val="00973411"/>
    <w:rsid w:val="00980842"/>
    <w:rsid w:val="00980F2C"/>
    <w:rsid w:val="009821DA"/>
    <w:rsid w:val="00985F0E"/>
    <w:rsid w:val="00990E73"/>
    <w:rsid w:val="0099106C"/>
    <w:rsid w:val="00996DED"/>
    <w:rsid w:val="009A166A"/>
    <w:rsid w:val="009A1741"/>
    <w:rsid w:val="009A4C4E"/>
    <w:rsid w:val="009A59F0"/>
    <w:rsid w:val="009B063F"/>
    <w:rsid w:val="009B102C"/>
    <w:rsid w:val="009B1694"/>
    <w:rsid w:val="009B1F8E"/>
    <w:rsid w:val="009B49FC"/>
    <w:rsid w:val="009B63C1"/>
    <w:rsid w:val="009C0CC4"/>
    <w:rsid w:val="009C2B2C"/>
    <w:rsid w:val="009C5DD9"/>
    <w:rsid w:val="009C6789"/>
    <w:rsid w:val="009D7F5F"/>
    <w:rsid w:val="009E2A28"/>
    <w:rsid w:val="009F036E"/>
    <w:rsid w:val="009F03D6"/>
    <w:rsid w:val="009F11FA"/>
    <w:rsid w:val="009F15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75CF"/>
    <w:rsid w:val="00A77785"/>
    <w:rsid w:val="00A832D1"/>
    <w:rsid w:val="00A83BF3"/>
    <w:rsid w:val="00A840E3"/>
    <w:rsid w:val="00A84144"/>
    <w:rsid w:val="00A842DD"/>
    <w:rsid w:val="00A91E02"/>
    <w:rsid w:val="00A95831"/>
    <w:rsid w:val="00A97D2B"/>
    <w:rsid w:val="00A97F27"/>
    <w:rsid w:val="00AA36AF"/>
    <w:rsid w:val="00AA37A6"/>
    <w:rsid w:val="00AA4B04"/>
    <w:rsid w:val="00AA5B8F"/>
    <w:rsid w:val="00AA7298"/>
    <w:rsid w:val="00AB17F6"/>
    <w:rsid w:val="00AB1D90"/>
    <w:rsid w:val="00AB2B17"/>
    <w:rsid w:val="00AB448D"/>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40D6"/>
    <w:rsid w:val="00AF5AFE"/>
    <w:rsid w:val="00AF6A60"/>
    <w:rsid w:val="00AF731C"/>
    <w:rsid w:val="00B02286"/>
    <w:rsid w:val="00B07777"/>
    <w:rsid w:val="00B07AC0"/>
    <w:rsid w:val="00B11B02"/>
    <w:rsid w:val="00B1219B"/>
    <w:rsid w:val="00B13BC5"/>
    <w:rsid w:val="00B1717F"/>
    <w:rsid w:val="00B21050"/>
    <w:rsid w:val="00B2290E"/>
    <w:rsid w:val="00B22F0F"/>
    <w:rsid w:val="00B2730A"/>
    <w:rsid w:val="00B27959"/>
    <w:rsid w:val="00B27D7B"/>
    <w:rsid w:val="00B3078B"/>
    <w:rsid w:val="00B329AF"/>
    <w:rsid w:val="00B33AC2"/>
    <w:rsid w:val="00B3535E"/>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3922"/>
    <w:rsid w:val="00BA45B1"/>
    <w:rsid w:val="00BA7957"/>
    <w:rsid w:val="00BB2BCD"/>
    <w:rsid w:val="00BB5585"/>
    <w:rsid w:val="00BB6250"/>
    <w:rsid w:val="00BB7758"/>
    <w:rsid w:val="00BB7885"/>
    <w:rsid w:val="00BC2DB2"/>
    <w:rsid w:val="00BC4901"/>
    <w:rsid w:val="00BC6A0F"/>
    <w:rsid w:val="00BC72BD"/>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44D1"/>
    <w:rsid w:val="00C174B1"/>
    <w:rsid w:val="00C17D52"/>
    <w:rsid w:val="00C2049C"/>
    <w:rsid w:val="00C22C7E"/>
    <w:rsid w:val="00C26CC6"/>
    <w:rsid w:val="00C30F1A"/>
    <w:rsid w:val="00C31586"/>
    <w:rsid w:val="00C32738"/>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630"/>
    <w:rsid w:val="00CB0F7B"/>
    <w:rsid w:val="00CB2355"/>
    <w:rsid w:val="00CB42C4"/>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C12"/>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54E"/>
    <w:rsid w:val="00D63D40"/>
    <w:rsid w:val="00D641EC"/>
    <w:rsid w:val="00D675F9"/>
    <w:rsid w:val="00D67972"/>
    <w:rsid w:val="00D707C1"/>
    <w:rsid w:val="00D708EC"/>
    <w:rsid w:val="00D72C76"/>
    <w:rsid w:val="00D73539"/>
    <w:rsid w:val="00D80F9F"/>
    <w:rsid w:val="00D841F4"/>
    <w:rsid w:val="00D842CE"/>
    <w:rsid w:val="00D8536F"/>
    <w:rsid w:val="00D86F42"/>
    <w:rsid w:val="00D87411"/>
    <w:rsid w:val="00D8770B"/>
    <w:rsid w:val="00D87968"/>
    <w:rsid w:val="00D87ABB"/>
    <w:rsid w:val="00D9011B"/>
    <w:rsid w:val="00D90372"/>
    <w:rsid w:val="00D92B1C"/>
    <w:rsid w:val="00D932A7"/>
    <w:rsid w:val="00D93902"/>
    <w:rsid w:val="00D9492F"/>
    <w:rsid w:val="00DA05C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4284"/>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5D2C"/>
    <w:rsid w:val="00E36564"/>
    <w:rsid w:val="00E3672A"/>
    <w:rsid w:val="00E36F8E"/>
    <w:rsid w:val="00E41BD2"/>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525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595F"/>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570"/>
    <w:rsid w:val="00F05F88"/>
    <w:rsid w:val="00F06B7C"/>
    <w:rsid w:val="00F078A3"/>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5C3E"/>
    <w:rsid w:val="00F56CE3"/>
    <w:rsid w:val="00F62816"/>
    <w:rsid w:val="00F64320"/>
    <w:rsid w:val="00F65383"/>
    <w:rsid w:val="00F65B9A"/>
    <w:rsid w:val="00F71787"/>
    <w:rsid w:val="00F74E5A"/>
    <w:rsid w:val="00F76F7A"/>
    <w:rsid w:val="00F778AF"/>
    <w:rsid w:val="00F77CEB"/>
    <w:rsid w:val="00F82613"/>
    <w:rsid w:val="00F83E9B"/>
    <w:rsid w:val="00F84736"/>
    <w:rsid w:val="00F87496"/>
    <w:rsid w:val="00F91A35"/>
    <w:rsid w:val="00F91E02"/>
    <w:rsid w:val="00F92126"/>
    <w:rsid w:val="00F921D9"/>
    <w:rsid w:val="00F93EC6"/>
    <w:rsid w:val="00F965D9"/>
    <w:rsid w:val="00F96A38"/>
    <w:rsid w:val="00F9737B"/>
    <w:rsid w:val="00FA20A4"/>
    <w:rsid w:val="00FA293D"/>
    <w:rsid w:val="00FA35E8"/>
    <w:rsid w:val="00FA4141"/>
    <w:rsid w:val="00FB544E"/>
    <w:rsid w:val="00FC01B7"/>
    <w:rsid w:val="00FC0645"/>
    <w:rsid w:val="00FC1EE2"/>
    <w:rsid w:val="00FC2259"/>
    <w:rsid w:val="00FC26AD"/>
    <w:rsid w:val="00FC2844"/>
    <w:rsid w:val="00FC3BB3"/>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76A6"/>
    <w:pPr>
      <w:contextualSpacing/>
    </w:pPr>
  </w:style>
  <w:style w:type="paragraph" w:styleId="Kop1">
    <w:name w:val="heading 1"/>
    <w:basedOn w:val="Standaard"/>
    <w:next w:val="Standaard"/>
    <w:link w:val="Kop1Char"/>
    <w:autoRedefine/>
    <w:uiPriority w:val="1"/>
    <w:qFormat/>
    <w:rsid w:val="004D2539"/>
    <w:pPr>
      <w:keepNext/>
      <w:numPr>
        <w:numId w:val="2"/>
      </w:numPr>
      <w:tabs>
        <w:tab w:val="num" w:pos="360"/>
      </w:tabs>
      <w:spacing w:before="360" w:after="480"/>
      <w:ind w:left="624" w:hanging="624"/>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1"/>
    <w:qFormat/>
    <w:rsid w:val="004D2539"/>
    <w:pPr>
      <w:numPr>
        <w:ilvl w:val="1"/>
      </w:numPr>
      <w:spacing w:before="0" w:after="0"/>
      <w:ind w:left="567" w:hanging="567"/>
      <w:jc w:val="both"/>
      <w:outlineLvl w:val="1"/>
    </w:pPr>
    <w:rPr>
      <w:iCs/>
      <w:sz w:val="24"/>
      <w:lang w:eastAsia="nl-NL"/>
    </w:rPr>
  </w:style>
  <w:style w:type="paragraph" w:styleId="Kop3">
    <w:name w:val="heading 3"/>
    <w:basedOn w:val="Standaard"/>
    <w:next w:val="Standaard"/>
    <w:link w:val="Kop3Char"/>
    <w:autoRedefine/>
    <w:uiPriority w:val="9"/>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4D2539"/>
    <w:rPr>
      <w:rFonts w:eastAsiaTheme="majorEastAsia" w:cstheme="majorBidi"/>
      <w:b/>
      <w:bCs/>
      <w:color w:val="0070C0"/>
      <w:kern w:val="32"/>
      <w:sz w:val="48"/>
      <w:szCs w:val="32"/>
    </w:rPr>
  </w:style>
  <w:style w:type="character" w:customStyle="1" w:styleId="Kop2Char">
    <w:name w:val="Kop 2 Char"/>
    <w:basedOn w:val="Standaardalinea-lettertype"/>
    <w:link w:val="Kop2"/>
    <w:uiPriority w:val="9"/>
    <w:rsid w:val="004D2539"/>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7F725F"/>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7F725F"/>
    <w:rPr>
      <w:rFonts w:eastAsiaTheme="majorEastAsia" w:cstheme="majorBidi"/>
      <w:b/>
      <w:color w:val="1728A9"/>
      <w:sz w:val="24"/>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3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3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3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3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table" w:customStyle="1" w:styleId="Tabelraster12">
    <w:name w:val="Tabelraster12"/>
    <w:basedOn w:val="Standaardtabel"/>
    <w:next w:val="Tabelraster"/>
    <w:uiPriority w:val="39"/>
    <w:rsid w:val="00B35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9"/>
    <w:rsid w:val="00860913"/>
    <w:pPr>
      <w:keepNext/>
      <w:keepLines/>
      <w:spacing w:before="240"/>
      <w:contextualSpacing w:val="0"/>
      <w:outlineLvl w:val="0"/>
    </w:pPr>
    <w:rPr>
      <w:rFonts w:ascii="Calibri Light" w:eastAsia="Times New Roman" w:hAnsi="Calibri Light"/>
      <w:color w:val="2F5496"/>
      <w:sz w:val="32"/>
      <w:szCs w:val="32"/>
    </w:rPr>
  </w:style>
  <w:style w:type="paragraph" w:customStyle="1" w:styleId="Kop21">
    <w:name w:val="Kop 21"/>
    <w:basedOn w:val="Standaard"/>
    <w:next w:val="Standaard"/>
    <w:uiPriority w:val="9"/>
    <w:unhideWhenUsed/>
    <w:rsid w:val="00860913"/>
    <w:pPr>
      <w:keepNext/>
      <w:keepLines/>
      <w:spacing w:before="40"/>
      <w:contextualSpacing w:val="0"/>
      <w:outlineLvl w:val="1"/>
    </w:pPr>
    <w:rPr>
      <w:rFonts w:ascii="Calibri Light" w:eastAsia="Times New Roman" w:hAnsi="Calibri Light"/>
      <w:color w:val="2F5496"/>
      <w:sz w:val="26"/>
      <w:szCs w:val="26"/>
    </w:rPr>
  </w:style>
  <w:style w:type="paragraph" w:customStyle="1" w:styleId="Kop31">
    <w:name w:val="Kop 31"/>
    <w:basedOn w:val="Standaard"/>
    <w:next w:val="Standaard"/>
    <w:uiPriority w:val="9"/>
    <w:unhideWhenUsed/>
    <w:qFormat/>
    <w:rsid w:val="00860913"/>
    <w:pPr>
      <w:keepNext/>
      <w:keepLines/>
      <w:spacing w:before="40"/>
      <w:contextualSpacing w:val="0"/>
      <w:outlineLvl w:val="2"/>
    </w:pPr>
    <w:rPr>
      <w:rFonts w:ascii="Calibri Light" w:eastAsia="Times New Roman" w:hAnsi="Calibri Light"/>
      <w:color w:val="1F3763"/>
      <w:sz w:val="24"/>
      <w:szCs w:val="24"/>
    </w:rPr>
  </w:style>
  <w:style w:type="paragraph" w:customStyle="1" w:styleId="Kop41">
    <w:name w:val="Kop 41"/>
    <w:basedOn w:val="Standaard"/>
    <w:next w:val="Standaard"/>
    <w:uiPriority w:val="9"/>
    <w:unhideWhenUsed/>
    <w:qFormat/>
    <w:rsid w:val="00860913"/>
    <w:pPr>
      <w:keepNext/>
      <w:keepLines/>
      <w:spacing w:before="40"/>
      <w:contextualSpacing w:val="0"/>
      <w:outlineLvl w:val="3"/>
    </w:pPr>
    <w:rPr>
      <w:rFonts w:ascii="Calibri Light" w:eastAsia="Times New Roman" w:hAnsi="Calibri Light"/>
      <w:i/>
      <w:iCs/>
      <w:color w:val="2F5496"/>
      <w:szCs w:val="22"/>
    </w:rPr>
  </w:style>
  <w:style w:type="table" w:customStyle="1" w:styleId="Tabelraster5">
    <w:name w:val="Tabelraster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next w:val="Lijstalinea"/>
    <w:uiPriority w:val="34"/>
    <w:qFormat/>
    <w:rsid w:val="00860913"/>
    <w:rPr>
      <w:rFonts w:asciiTheme="minorHAnsi" w:eastAsiaTheme="minorHAnsi" w:hAnsiTheme="minorHAnsi" w:cstheme="minorBidi"/>
      <w:b/>
      <w:color w:val="4472C4"/>
      <w:sz w:val="32"/>
      <w:szCs w:val="22"/>
    </w:rPr>
  </w:style>
  <w:style w:type="table" w:customStyle="1" w:styleId="Tabelraster7">
    <w:name w:val="Tabelraster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860913"/>
    <w:rPr>
      <w:rFonts w:asciiTheme="majorHAnsi" w:eastAsiaTheme="majorEastAsia" w:hAnsiTheme="majorHAnsi" w:cstheme="majorBidi"/>
      <w:color w:val="365F91" w:themeColor="accent1" w:themeShade="BF"/>
      <w:sz w:val="32"/>
      <w:szCs w:val="32"/>
    </w:rPr>
  </w:style>
  <w:style w:type="character" w:customStyle="1" w:styleId="Kop4Char1">
    <w:name w:val="Kop 4 Char1"/>
    <w:basedOn w:val="Standaardalinea-lettertype"/>
    <w:uiPriority w:val="9"/>
    <w:semiHidden/>
    <w:rsid w:val="00860913"/>
    <w:rPr>
      <w:rFonts w:asciiTheme="majorHAnsi" w:eastAsiaTheme="majorEastAsia" w:hAnsiTheme="majorHAnsi" w:cstheme="majorBidi"/>
      <w:i/>
      <w:iCs/>
      <w:color w:val="365F91" w:themeColor="accent1" w:themeShade="BF"/>
    </w:rPr>
  </w:style>
  <w:style w:type="character" w:customStyle="1" w:styleId="Kop2Char1">
    <w:name w:val="Kop 2 Char1"/>
    <w:basedOn w:val="Standaardalinea-lettertype"/>
    <w:uiPriority w:val="9"/>
    <w:semiHidden/>
    <w:rsid w:val="00860913"/>
    <w:rPr>
      <w:rFonts w:asciiTheme="majorHAnsi" w:eastAsiaTheme="majorEastAsia" w:hAnsiTheme="majorHAnsi" w:cstheme="majorBidi"/>
      <w:color w:val="365F91" w:themeColor="accent1" w:themeShade="BF"/>
      <w:sz w:val="26"/>
      <w:szCs w:val="26"/>
    </w:rPr>
  </w:style>
  <w:style w:type="character" w:customStyle="1" w:styleId="Kop3Char1">
    <w:name w:val="Kop 3 Char1"/>
    <w:basedOn w:val="Standaardalinea-lettertype"/>
    <w:uiPriority w:val="9"/>
    <w:semiHidden/>
    <w:rsid w:val="00860913"/>
    <w:rPr>
      <w:rFonts w:asciiTheme="majorHAnsi" w:eastAsiaTheme="majorEastAsia" w:hAnsiTheme="majorHAnsi" w:cstheme="majorBidi"/>
      <w:color w:val="243F60" w:themeColor="accent1" w:themeShade="7F"/>
      <w:sz w:val="24"/>
      <w:szCs w:val="24"/>
    </w:rPr>
  </w:style>
  <w:style w:type="table" w:customStyle="1" w:styleId="Tabelraster20">
    <w:name w:val="Tabelraster20"/>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860913"/>
    <w:rPr>
      <w:b/>
      <w:bCs/>
      <w:smallCaps/>
      <w:color w:val="4F81BD" w:themeColor="accent1"/>
      <w:spacing w:val="5"/>
    </w:rPr>
  </w:style>
  <w:style w:type="character" w:styleId="Tekstvantijdelijkeaanduiding">
    <w:name w:val="Placeholder Text"/>
    <w:basedOn w:val="Standaardalinea-lettertype"/>
    <w:uiPriority w:val="99"/>
    <w:semiHidden/>
    <w:rsid w:val="008609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BC1DE-C606-45B4-9CDB-E6DF148B20EC}"/>
</file>

<file path=customXml/itemProps3.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4.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2</cp:revision>
  <cp:lastPrinted>2018-02-10T15:40:00Z</cp:lastPrinted>
  <dcterms:created xsi:type="dcterms:W3CDTF">2023-09-05T14:42:00Z</dcterms:created>
  <dcterms:modified xsi:type="dcterms:W3CDTF">2023-09-05T14:42:00Z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